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051" w:rsidRPr="00767F18" w:rsidRDefault="00833051" w:rsidP="00D96272">
      <w:pPr>
        <w:autoSpaceDE w:val="0"/>
        <w:autoSpaceDN w:val="0"/>
        <w:adjustRightInd w:val="0"/>
        <w:ind w:firstLine="720"/>
        <w:jc w:val="center"/>
        <w:rPr>
          <w:rFonts w:asciiTheme="majorBidi" w:hAnsiTheme="majorBidi" w:cstheme="majorBidi"/>
          <w:bCs/>
          <w:sz w:val="28"/>
          <w:szCs w:val="28"/>
          <w:lang w:val="fr-FR"/>
        </w:rPr>
      </w:pPr>
      <w:r w:rsidRPr="00767F18">
        <w:rPr>
          <w:rFonts w:asciiTheme="majorBidi" w:hAnsiTheme="majorBidi" w:cstheme="majorBidi"/>
          <w:b/>
          <w:bCs/>
          <w:sz w:val="28"/>
          <w:szCs w:val="28"/>
          <w:lang w:val="fr-FR"/>
        </w:rPr>
        <w:t>Réactions de l’hôte aux biomatériaux et leur évaluation</w:t>
      </w:r>
    </w:p>
    <w:p w:rsidR="002351EA" w:rsidRDefault="002351EA" w:rsidP="00D96272">
      <w:pPr>
        <w:ind w:firstLine="720"/>
        <w:contextualSpacing/>
        <w:rPr>
          <w:rFonts w:asciiTheme="majorBidi" w:hAnsiTheme="majorBidi" w:cstheme="majorBidi"/>
          <w:b/>
          <w:bCs/>
          <w:lang w:val="fr-FR"/>
        </w:rPr>
      </w:pPr>
    </w:p>
    <w:p w:rsidR="00DA65DE" w:rsidRPr="00380E14" w:rsidRDefault="00DA65DE" w:rsidP="00D96272">
      <w:pPr>
        <w:ind w:firstLine="720"/>
        <w:contextualSpacing/>
        <w:rPr>
          <w:rFonts w:asciiTheme="majorBidi" w:hAnsiTheme="majorBidi" w:cstheme="majorBidi"/>
          <w:sz w:val="24"/>
          <w:szCs w:val="24"/>
          <w:lang w:val="fr-FR"/>
        </w:rPr>
      </w:pPr>
      <w:r w:rsidRPr="00380E14">
        <w:rPr>
          <w:rFonts w:asciiTheme="majorBidi" w:hAnsiTheme="majorBidi" w:cstheme="majorBidi"/>
          <w:sz w:val="24"/>
          <w:szCs w:val="24"/>
          <w:lang w:val="fr-FR"/>
        </w:rPr>
        <w:t xml:space="preserve">Quelques années plus tard, avec l'émergence de diverses applications en </w:t>
      </w:r>
      <w:proofErr w:type="spellStart"/>
      <w:r w:rsidRPr="00380E14">
        <w:rPr>
          <w:rFonts w:asciiTheme="majorBidi" w:hAnsiTheme="majorBidi" w:cstheme="majorBidi"/>
          <w:sz w:val="24"/>
          <w:szCs w:val="24"/>
          <w:lang w:val="fr-FR"/>
        </w:rPr>
        <w:t>pré-cliniques</w:t>
      </w:r>
      <w:proofErr w:type="spellEnd"/>
      <w:r w:rsidRPr="00380E14">
        <w:rPr>
          <w:rFonts w:asciiTheme="majorBidi" w:hAnsiTheme="majorBidi" w:cstheme="majorBidi"/>
          <w:sz w:val="24"/>
          <w:szCs w:val="24"/>
          <w:lang w:val="fr-FR"/>
        </w:rPr>
        <w:t xml:space="preserve">, dans l'analyse et la régénération </w:t>
      </w:r>
      <w:r w:rsidR="002351EA" w:rsidRPr="00380E14">
        <w:rPr>
          <w:rFonts w:asciiTheme="majorBidi" w:hAnsiTheme="majorBidi" w:cstheme="majorBidi"/>
          <w:sz w:val="24"/>
          <w:szCs w:val="24"/>
          <w:lang w:val="fr-FR"/>
        </w:rPr>
        <w:t>des</w:t>
      </w:r>
      <w:r w:rsidRPr="00380E14">
        <w:rPr>
          <w:rFonts w:asciiTheme="majorBidi" w:hAnsiTheme="majorBidi" w:cstheme="majorBidi"/>
          <w:sz w:val="24"/>
          <w:szCs w:val="24"/>
          <w:lang w:val="fr-FR"/>
        </w:rPr>
        <w:t xml:space="preserve"> biomatériaux, des modifications de la définition du biomatériau se sont révélée nécessaires, en particulier en ce qui concerne les mots </w:t>
      </w:r>
      <w:r w:rsidRPr="00380E14">
        <w:rPr>
          <w:rFonts w:asciiTheme="majorBidi" w:hAnsiTheme="majorBidi" w:cstheme="majorBidi"/>
          <w:i/>
          <w:iCs/>
          <w:sz w:val="24"/>
          <w:szCs w:val="24"/>
          <w:lang w:val="fr-FR"/>
        </w:rPr>
        <w:t>non-viable</w:t>
      </w:r>
      <w:r w:rsidRPr="00380E14">
        <w:rPr>
          <w:rFonts w:asciiTheme="majorBidi" w:hAnsiTheme="majorBidi" w:cstheme="majorBidi"/>
          <w:sz w:val="24"/>
          <w:szCs w:val="24"/>
          <w:lang w:val="fr-FR"/>
        </w:rPr>
        <w:t xml:space="preserve"> et </w:t>
      </w:r>
      <w:r w:rsidRPr="00380E14">
        <w:rPr>
          <w:rFonts w:asciiTheme="majorBidi" w:hAnsiTheme="majorBidi" w:cstheme="majorBidi"/>
          <w:i/>
          <w:iCs/>
          <w:sz w:val="24"/>
          <w:szCs w:val="24"/>
          <w:lang w:val="fr-FR"/>
        </w:rPr>
        <w:t>médical</w:t>
      </w:r>
      <w:r w:rsidRPr="00380E14">
        <w:rPr>
          <w:rFonts w:asciiTheme="majorBidi" w:hAnsiTheme="majorBidi" w:cstheme="majorBidi"/>
          <w:sz w:val="24"/>
          <w:szCs w:val="24"/>
          <w:lang w:val="fr-FR"/>
        </w:rPr>
        <w:t xml:space="preserve">. </w:t>
      </w:r>
    </w:p>
    <w:p w:rsidR="00DA65DE" w:rsidRPr="00380E14" w:rsidRDefault="00DA65DE" w:rsidP="00D96272">
      <w:pPr>
        <w:spacing w:after="120"/>
        <w:ind w:firstLine="720"/>
        <w:contextualSpacing/>
        <w:rPr>
          <w:rFonts w:asciiTheme="majorBidi" w:hAnsiTheme="majorBidi" w:cstheme="majorBidi"/>
          <w:sz w:val="24"/>
          <w:szCs w:val="24"/>
        </w:rPr>
      </w:pPr>
      <w:r w:rsidRPr="00380E14">
        <w:rPr>
          <w:rFonts w:asciiTheme="majorBidi" w:hAnsiTheme="majorBidi" w:cstheme="majorBidi"/>
          <w:sz w:val="24"/>
          <w:szCs w:val="24"/>
          <w:lang w:val="fr-FR"/>
        </w:rPr>
        <w:t xml:space="preserve">L’interaction avec le système biologique requiert à ce que l’hôte appropriée ne suscite pas de réponse allergique, inflammatoire ou autre indésirable. </w:t>
      </w:r>
      <w:proofErr w:type="spellStart"/>
      <w:proofErr w:type="gramStart"/>
      <w:r w:rsidRPr="00380E14">
        <w:rPr>
          <w:rFonts w:asciiTheme="majorBidi" w:hAnsiTheme="majorBidi" w:cstheme="majorBidi"/>
          <w:sz w:val="24"/>
          <w:szCs w:val="24"/>
        </w:rPr>
        <w:t>Cela</w:t>
      </w:r>
      <w:proofErr w:type="spellEnd"/>
      <w:r w:rsidRPr="00380E14">
        <w:rPr>
          <w:rFonts w:asciiTheme="majorBidi" w:hAnsiTheme="majorBidi" w:cstheme="majorBidi"/>
          <w:sz w:val="24"/>
          <w:szCs w:val="24"/>
        </w:rPr>
        <w:t xml:space="preserve"> fait </w:t>
      </w:r>
      <w:proofErr w:type="spellStart"/>
      <w:r w:rsidRPr="00380E14">
        <w:rPr>
          <w:rFonts w:asciiTheme="majorBidi" w:hAnsiTheme="majorBidi" w:cstheme="majorBidi"/>
          <w:sz w:val="24"/>
          <w:szCs w:val="24"/>
        </w:rPr>
        <w:t>appel</w:t>
      </w:r>
      <w:proofErr w:type="spellEnd"/>
      <w:r w:rsidRPr="00380E14">
        <w:rPr>
          <w:rFonts w:asciiTheme="majorBidi" w:hAnsiTheme="majorBidi" w:cstheme="majorBidi"/>
          <w:sz w:val="24"/>
          <w:szCs w:val="24"/>
        </w:rPr>
        <w:t xml:space="preserve"> à la notion de </w:t>
      </w:r>
      <w:proofErr w:type="spellStart"/>
      <w:r w:rsidRPr="00380E14">
        <w:rPr>
          <w:rFonts w:asciiTheme="majorBidi" w:hAnsiTheme="majorBidi" w:cstheme="majorBidi"/>
          <w:i/>
          <w:iCs/>
          <w:sz w:val="24"/>
          <w:szCs w:val="24"/>
        </w:rPr>
        <w:t>biocompatibilité</w:t>
      </w:r>
      <w:proofErr w:type="spellEnd"/>
      <w:r w:rsidRPr="00380E14">
        <w:rPr>
          <w:rFonts w:asciiTheme="majorBidi" w:hAnsiTheme="majorBidi" w:cstheme="majorBidi"/>
          <w:sz w:val="24"/>
          <w:szCs w:val="24"/>
        </w:rPr>
        <w:t>.</w:t>
      </w:r>
      <w:proofErr w:type="gramEnd"/>
    </w:p>
    <w:p w:rsidR="000D3EE7" w:rsidRPr="00380E14" w:rsidRDefault="000D3EE7" w:rsidP="00D96272">
      <w:pPr>
        <w:spacing w:after="120"/>
        <w:ind w:firstLine="720"/>
        <w:contextualSpacing/>
        <w:rPr>
          <w:rFonts w:asciiTheme="majorBidi" w:hAnsiTheme="majorBidi" w:cstheme="majorBidi"/>
          <w:sz w:val="24"/>
          <w:szCs w:val="24"/>
        </w:rPr>
      </w:pPr>
    </w:p>
    <w:p w:rsidR="000D3EE7" w:rsidRPr="00380E14" w:rsidRDefault="00DA65DE" w:rsidP="00D96272">
      <w:pPr>
        <w:ind w:left="1134"/>
        <w:contextualSpacing/>
        <w:rPr>
          <w:rFonts w:asciiTheme="majorBidi" w:hAnsiTheme="majorBidi" w:cstheme="majorBidi"/>
          <w:b/>
          <w:i/>
          <w:iCs/>
          <w:sz w:val="24"/>
          <w:szCs w:val="24"/>
        </w:rPr>
      </w:pPr>
      <w:r w:rsidRPr="00380E14">
        <w:rPr>
          <w:rFonts w:asciiTheme="majorBidi" w:hAnsiTheme="majorBidi" w:cstheme="majorBidi"/>
          <w:b/>
          <w:i/>
          <w:iCs/>
          <w:sz w:val="24"/>
          <w:szCs w:val="24"/>
        </w:rPr>
        <w:t>“Biocompatibility is the ability of a material to perform with an appropriate host response in a specific application”.</w:t>
      </w:r>
      <w:r w:rsidR="00F77627" w:rsidRPr="00380E14">
        <w:rPr>
          <w:rFonts w:asciiTheme="majorBidi" w:hAnsiTheme="majorBidi" w:cstheme="majorBidi"/>
          <w:b/>
          <w:i/>
          <w:iCs/>
          <w:sz w:val="24"/>
          <w:szCs w:val="24"/>
        </w:rPr>
        <w:t xml:space="preserve">  </w:t>
      </w:r>
    </w:p>
    <w:p w:rsidR="00DA65DE" w:rsidRPr="00380E14" w:rsidRDefault="00DA65DE" w:rsidP="00D96272">
      <w:pPr>
        <w:ind w:left="1134"/>
        <w:contextualSpacing/>
        <w:jc w:val="right"/>
        <w:rPr>
          <w:rFonts w:asciiTheme="majorBidi" w:eastAsia="MS Mincho" w:hAnsiTheme="majorBidi" w:cstheme="majorBidi"/>
          <w:b/>
          <w:sz w:val="24"/>
          <w:szCs w:val="24"/>
          <w:lang w:val="fr-FR"/>
        </w:rPr>
      </w:pPr>
      <w:r w:rsidRPr="00380E14">
        <w:rPr>
          <w:rFonts w:asciiTheme="majorBidi" w:hAnsiTheme="majorBidi" w:cstheme="majorBidi"/>
          <w:b/>
          <w:i/>
          <w:iCs/>
          <w:sz w:val="24"/>
          <w:szCs w:val="24"/>
          <w:lang w:val="fr-FR"/>
        </w:rPr>
        <w:t>Williams, 1987</w:t>
      </w:r>
      <w:r w:rsidRPr="00380E14">
        <w:rPr>
          <w:rFonts w:asciiTheme="majorBidi" w:eastAsia="MS Mincho" w:hAnsi="MS Mincho" w:cstheme="majorBidi"/>
          <w:b/>
          <w:sz w:val="24"/>
          <w:szCs w:val="24"/>
          <w:lang w:val="fr-FR"/>
        </w:rPr>
        <w:t> </w:t>
      </w:r>
    </w:p>
    <w:p w:rsidR="00DA65DE" w:rsidRPr="00380E14" w:rsidRDefault="00DA65DE" w:rsidP="00D96272">
      <w:pPr>
        <w:ind w:firstLine="709"/>
        <w:contextualSpacing/>
        <w:rPr>
          <w:rFonts w:asciiTheme="majorBidi" w:hAnsiTheme="majorBidi" w:cstheme="majorBidi"/>
          <w:sz w:val="24"/>
          <w:szCs w:val="24"/>
          <w:lang w:val="fr-FR"/>
        </w:rPr>
      </w:pPr>
      <w:r w:rsidRPr="00380E14">
        <w:rPr>
          <w:rFonts w:asciiTheme="majorBidi" w:hAnsiTheme="majorBidi" w:cstheme="majorBidi"/>
          <w:sz w:val="24"/>
          <w:szCs w:val="24"/>
          <w:lang w:val="fr-FR"/>
        </w:rPr>
        <w:t>Différentes définitions de la biocompatibilité restent à l’heure actuelle vague et complètement confuse étant donné que la conception des nouveaux biomatériaux est en évolution, d’une part. Et d’autre part, la réponse appropriée de l’hôte peut varier considérablement entre les différentes applications.</w:t>
      </w:r>
    </w:p>
    <w:p w:rsidR="003D4421" w:rsidRPr="00380E14" w:rsidRDefault="00DA65DE" w:rsidP="00D96272">
      <w:pPr>
        <w:ind w:firstLine="720"/>
        <w:textAlignment w:val="top"/>
        <w:rPr>
          <w:rFonts w:asciiTheme="majorBidi" w:hAnsiTheme="majorBidi" w:cstheme="majorBidi"/>
          <w:sz w:val="24"/>
          <w:szCs w:val="24"/>
          <w:lang w:val="fr-FR"/>
        </w:rPr>
      </w:pPr>
      <w:r w:rsidRPr="00380E14">
        <w:rPr>
          <w:rFonts w:asciiTheme="majorBidi" w:eastAsia="Times New Roman" w:hAnsiTheme="majorBidi" w:cstheme="majorBidi"/>
          <w:sz w:val="24"/>
          <w:szCs w:val="24"/>
          <w:lang w:val="fr-FR" w:eastAsia="fr-FR"/>
        </w:rPr>
        <w:t xml:space="preserve">Les </w:t>
      </w:r>
      <w:proofErr w:type="spellStart"/>
      <w:r w:rsidRPr="00380E14">
        <w:rPr>
          <w:rFonts w:asciiTheme="majorBidi" w:eastAsia="Times New Roman" w:hAnsiTheme="majorBidi" w:cstheme="majorBidi"/>
          <w:i/>
          <w:iCs/>
          <w:sz w:val="24"/>
          <w:szCs w:val="24"/>
          <w:lang w:val="fr-FR" w:eastAsia="fr-FR"/>
        </w:rPr>
        <w:t>scaffolds</w:t>
      </w:r>
      <w:proofErr w:type="spellEnd"/>
      <w:r w:rsidRPr="00380E14">
        <w:rPr>
          <w:rFonts w:asciiTheme="majorBidi" w:eastAsia="Times New Roman" w:hAnsiTheme="majorBidi" w:cstheme="majorBidi"/>
          <w:sz w:val="24"/>
          <w:szCs w:val="24"/>
          <w:lang w:val="fr-FR" w:eastAsia="fr-FR"/>
        </w:rPr>
        <w:t xml:space="preserve"> sont souvent conçus pour agir comme un support intermédiaire pour la régénération des tissus. Ils sont donc destinés à se dégradent au court du temps et à disparaître lorsque le tissu est de nouveau formé. </w:t>
      </w:r>
      <w:r w:rsidR="00767F18" w:rsidRPr="00380E14">
        <w:rPr>
          <w:rFonts w:asciiTheme="majorBidi" w:hAnsiTheme="majorBidi" w:cstheme="majorBidi"/>
          <w:bCs/>
          <w:sz w:val="24"/>
          <w:szCs w:val="24"/>
          <w:lang w:val="fr-FR"/>
        </w:rPr>
        <w:t>E</w:t>
      </w:r>
      <w:r w:rsidR="00DF3002" w:rsidRPr="00380E14">
        <w:rPr>
          <w:rFonts w:asciiTheme="majorBidi" w:hAnsiTheme="majorBidi" w:cstheme="majorBidi"/>
          <w:bCs/>
          <w:sz w:val="24"/>
          <w:szCs w:val="24"/>
          <w:lang w:val="fr-FR"/>
        </w:rPr>
        <w:t>n revanche, p</w:t>
      </w:r>
      <w:r w:rsidR="00DF3002" w:rsidRPr="00380E14">
        <w:rPr>
          <w:rFonts w:asciiTheme="majorBidi" w:hAnsiTheme="majorBidi" w:cstheme="majorBidi"/>
          <w:sz w:val="24"/>
          <w:szCs w:val="24"/>
          <w:lang w:val="fr-FR"/>
        </w:rPr>
        <w:t>lusieurs caractéristiques rendent les hydrogels</w:t>
      </w:r>
      <w:r w:rsidR="003D4421" w:rsidRPr="00380E14">
        <w:rPr>
          <w:rFonts w:asciiTheme="majorBidi" w:hAnsiTheme="majorBidi" w:cstheme="majorBidi"/>
          <w:sz w:val="24"/>
          <w:szCs w:val="24"/>
          <w:lang w:val="fr-FR"/>
        </w:rPr>
        <w:t xml:space="preserve">  </w:t>
      </w:r>
      <w:r w:rsidR="00DF3002" w:rsidRPr="00380E14">
        <w:rPr>
          <w:rFonts w:asciiTheme="majorBidi" w:hAnsiTheme="majorBidi" w:cstheme="majorBidi"/>
          <w:sz w:val="24"/>
          <w:szCs w:val="24"/>
          <w:lang w:val="fr-FR"/>
        </w:rPr>
        <w:t xml:space="preserve"> biocompatibles quand ils sont introduits dans le corps</w:t>
      </w:r>
      <w:r w:rsidR="003D4421" w:rsidRPr="00380E14">
        <w:rPr>
          <w:rFonts w:asciiTheme="majorBidi" w:hAnsiTheme="majorBidi" w:cstheme="majorBidi"/>
          <w:sz w:val="24"/>
          <w:szCs w:val="24"/>
          <w:lang w:val="fr-FR"/>
        </w:rPr>
        <w:t> :</w:t>
      </w:r>
    </w:p>
    <w:p w:rsidR="00DF3002" w:rsidRPr="00380E14" w:rsidRDefault="003D4421" w:rsidP="00D96272">
      <w:pPr>
        <w:ind w:firstLine="720"/>
        <w:textAlignment w:val="top"/>
        <w:rPr>
          <w:rFonts w:asciiTheme="majorBidi" w:hAnsiTheme="majorBidi" w:cstheme="majorBidi"/>
          <w:sz w:val="24"/>
          <w:szCs w:val="24"/>
          <w:lang w:val="fr-FR"/>
        </w:rPr>
      </w:pPr>
      <w:r w:rsidRPr="00380E14">
        <w:rPr>
          <w:rFonts w:asciiTheme="majorBidi" w:hAnsiTheme="majorBidi" w:cstheme="majorBidi"/>
          <w:sz w:val="24"/>
          <w:szCs w:val="24"/>
          <w:lang w:val="fr-FR"/>
        </w:rPr>
        <w:t>- Les hydrogels gonflent dans l’eau et</w:t>
      </w:r>
      <w:r w:rsidRPr="00380E14">
        <w:rPr>
          <w:rFonts w:asciiTheme="majorBidi" w:hAnsiTheme="majorBidi" w:cstheme="majorBidi"/>
          <w:color w:val="FF0000"/>
          <w:sz w:val="24"/>
          <w:szCs w:val="24"/>
          <w:lang w:val="fr-FR"/>
        </w:rPr>
        <w:t xml:space="preserve"> </w:t>
      </w:r>
      <w:r w:rsidR="00DF3002" w:rsidRPr="00380E14">
        <w:rPr>
          <w:rFonts w:asciiTheme="majorBidi" w:hAnsiTheme="majorBidi" w:cstheme="majorBidi"/>
          <w:sz w:val="24"/>
          <w:szCs w:val="24"/>
          <w:lang w:val="fr-FR"/>
        </w:rPr>
        <w:t xml:space="preserve">entraine un relâchement du réseau polymère permettant ainsi la libération du principe actif par diffusion. </w:t>
      </w:r>
    </w:p>
    <w:p w:rsidR="00DF3002" w:rsidRPr="00380E14" w:rsidRDefault="00DF3002" w:rsidP="00D96272">
      <w:pPr>
        <w:contextualSpacing/>
        <w:rPr>
          <w:rFonts w:asciiTheme="majorBidi" w:hAnsiTheme="majorBidi" w:cstheme="majorBidi"/>
          <w:sz w:val="24"/>
          <w:szCs w:val="24"/>
          <w:lang w:val="fr-FR"/>
        </w:rPr>
      </w:pPr>
      <w:r w:rsidRPr="00380E14">
        <w:rPr>
          <w:rFonts w:asciiTheme="majorBidi" w:hAnsiTheme="majorBidi" w:cstheme="majorBidi"/>
          <w:sz w:val="24"/>
          <w:szCs w:val="24"/>
          <w:lang w:val="fr-FR"/>
        </w:rPr>
        <w:t xml:space="preserve">- La nature hydrophile des chaînes polymériques favorise les propriétés hydrodynamiques des cellules à l’interface de l’hôte et prévient ainsi l’adsorption protéique et l’adhésion cellulaire de surface. </w:t>
      </w:r>
    </w:p>
    <w:p w:rsidR="00DF3002" w:rsidRPr="00380E14" w:rsidRDefault="00DF3002" w:rsidP="00D96272">
      <w:pPr>
        <w:contextualSpacing/>
        <w:rPr>
          <w:rFonts w:asciiTheme="majorBidi" w:hAnsiTheme="majorBidi" w:cstheme="majorBidi"/>
          <w:sz w:val="24"/>
          <w:szCs w:val="24"/>
          <w:lang w:val="fr-FR"/>
        </w:rPr>
      </w:pPr>
      <w:r w:rsidRPr="00380E14">
        <w:rPr>
          <w:rFonts w:asciiTheme="majorBidi" w:hAnsiTheme="majorBidi" w:cstheme="majorBidi"/>
          <w:sz w:val="24"/>
          <w:szCs w:val="24"/>
          <w:lang w:val="fr-FR"/>
        </w:rPr>
        <w:t xml:space="preserve">- Les hydrogels, après gonflement, acquièrent une certaine élasticité et subissent des pressions des tissus avoisinants sans être déformés tout en remplissant leur rôle. </w:t>
      </w:r>
    </w:p>
    <w:p w:rsidR="00DF3002" w:rsidRPr="00380E14" w:rsidRDefault="00DF3002" w:rsidP="00D96272">
      <w:pPr>
        <w:contextualSpacing/>
        <w:rPr>
          <w:rFonts w:asciiTheme="majorBidi" w:hAnsiTheme="majorBidi" w:cstheme="majorBidi"/>
          <w:sz w:val="24"/>
          <w:szCs w:val="24"/>
          <w:lang w:val="fr-FR"/>
        </w:rPr>
      </w:pPr>
      <w:r w:rsidRPr="00380E14">
        <w:rPr>
          <w:rFonts w:asciiTheme="majorBidi" w:hAnsiTheme="majorBidi" w:cstheme="majorBidi"/>
          <w:sz w:val="24"/>
          <w:szCs w:val="24"/>
          <w:lang w:val="fr-FR"/>
        </w:rPr>
        <w:t>- Cette élasticité baisse le risque d’altérer les tissus avoisinants par compression, irritation, et friction.</w:t>
      </w:r>
    </w:p>
    <w:p w:rsidR="00DF3002" w:rsidRPr="00380E14" w:rsidRDefault="00DF3002" w:rsidP="00D96272">
      <w:pPr>
        <w:contextualSpacing/>
        <w:rPr>
          <w:rFonts w:asciiTheme="majorBidi" w:hAnsiTheme="majorBidi" w:cstheme="majorBidi"/>
          <w:sz w:val="24"/>
          <w:szCs w:val="24"/>
          <w:lang w:val="fr-FR"/>
        </w:rPr>
      </w:pPr>
      <w:r w:rsidRPr="00380E14">
        <w:rPr>
          <w:rFonts w:asciiTheme="majorBidi" w:hAnsiTheme="majorBidi" w:cstheme="majorBidi"/>
          <w:sz w:val="24"/>
          <w:szCs w:val="24"/>
          <w:lang w:val="fr-FR"/>
        </w:rPr>
        <w:t>Les hydrogels doivent répondre aux critères cités précédemment pour être utilisés en tant que     «</w:t>
      </w:r>
      <w:proofErr w:type="spellStart"/>
      <w:r w:rsidRPr="00380E14">
        <w:rPr>
          <w:rFonts w:asciiTheme="majorBidi" w:hAnsiTheme="majorBidi" w:cstheme="majorBidi"/>
          <w:sz w:val="24"/>
          <w:szCs w:val="24"/>
          <w:lang w:val="fr-FR"/>
        </w:rPr>
        <w:t>scaffold</w:t>
      </w:r>
      <w:proofErr w:type="spellEnd"/>
      <w:r w:rsidRPr="00380E14">
        <w:rPr>
          <w:rFonts w:asciiTheme="majorBidi" w:hAnsiTheme="majorBidi" w:cstheme="majorBidi"/>
          <w:sz w:val="24"/>
          <w:szCs w:val="24"/>
          <w:lang w:val="fr-FR"/>
        </w:rPr>
        <w:t xml:space="preserve">» dans le génie tissulaire. De plus, le mécanisme de gélation doit être pris en compte. La formation de gel basée sur des liaisons covalente peut provoquer, quant à elle, une </w:t>
      </w:r>
      <w:proofErr w:type="spellStart"/>
      <w:r w:rsidRPr="00380E14">
        <w:rPr>
          <w:rFonts w:asciiTheme="majorBidi" w:hAnsiTheme="majorBidi" w:cstheme="majorBidi"/>
          <w:sz w:val="24"/>
          <w:szCs w:val="24"/>
          <w:lang w:val="fr-FR"/>
        </w:rPr>
        <w:t>cytotoxicité</w:t>
      </w:r>
      <w:proofErr w:type="spellEnd"/>
      <w:r w:rsidRPr="00380E14">
        <w:rPr>
          <w:rFonts w:asciiTheme="majorBidi" w:hAnsiTheme="majorBidi" w:cstheme="majorBidi"/>
          <w:sz w:val="24"/>
          <w:szCs w:val="24"/>
          <w:lang w:val="fr-FR"/>
        </w:rPr>
        <w:t xml:space="preserve"> provenant de la molécule de réticulation mais également rendre le gel non biodégradable, aspect défavorable pour le génie tissulaire.</w:t>
      </w:r>
    </w:p>
    <w:p w:rsidR="00DF3002" w:rsidRPr="00380E14" w:rsidRDefault="00DF3002" w:rsidP="00D96272">
      <w:pPr>
        <w:ind w:firstLine="720"/>
        <w:contextualSpacing/>
        <w:rPr>
          <w:rFonts w:asciiTheme="majorBidi" w:hAnsiTheme="majorBidi" w:cstheme="majorBidi"/>
          <w:sz w:val="24"/>
          <w:szCs w:val="24"/>
          <w:lang w:val="fr-FR"/>
        </w:rPr>
      </w:pPr>
      <w:r w:rsidRPr="00380E14">
        <w:rPr>
          <w:rFonts w:asciiTheme="majorBidi" w:hAnsiTheme="majorBidi" w:cstheme="majorBidi"/>
          <w:sz w:val="24"/>
          <w:szCs w:val="24"/>
          <w:lang w:val="fr-FR"/>
        </w:rPr>
        <w:lastRenderedPageBreak/>
        <w:t xml:space="preserve">Lors de </w:t>
      </w:r>
      <w:r w:rsidRPr="00380E14">
        <w:rPr>
          <w:rFonts w:asciiTheme="majorBidi" w:hAnsiTheme="majorBidi" w:cstheme="majorBidi"/>
          <w:b/>
          <w:bCs/>
          <w:sz w:val="24"/>
          <w:szCs w:val="24"/>
          <w:lang w:val="fr-FR"/>
        </w:rPr>
        <w:t xml:space="preserve">l’implantation </w:t>
      </w:r>
      <w:r w:rsidRPr="00380E14">
        <w:rPr>
          <w:rFonts w:asciiTheme="majorBidi" w:hAnsiTheme="majorBidi" w:cstheme="majorBidi"/>
          <w:sz w:val="24"/>
          <w:szCs w:val="24"/>
          <w:lang w:val="fr-FR"/>
        </w:rPr>
        <w:t xml:space="preserve">d’un biomatériau, il est important de contrôler l’adhésion protéique et l’adhésion cellulaire afin de palier aux évènements néfastes tels que des réactions inflammatoires chroniques, les réactions allergiques, les infections bactériennes, ou encore les thromboses dans le cas des implants vasculaires. </w:t>
      </w:r>
    </w:p>
    <w:p w:rsidR="00DF3002" w:rsidRPr="00380E14" w:rsidRDefault="00DF3002" w:rsidP="00D96272">
      <w:pPr>
        <w:ind w:firstLine="720"/>
        <w:contextualSpacing/>
        <w:rPr>
          <w:rFonts w:asciiTheme="majorBidi" w:hAnsiTheme="majorBidi" w:cstheme="majorBidi"/>
          <w:sz w:val="24"/>
          <w:szCs w:val="24"/>
          <w:lang w:val="fr-FR"/>
        </w:rPr>
      </w:pPr>
      <w:r w:rsidRPr="00380E14">
        <w:rPr>
          <w:rFonts w:asciiTheme="majorBidi" w:hAnsiTheme="majorBidi" w:cstheme="majorBidi"/>
          <w:b/>
          <w:bCs/>
          <w:sz w:val="24"/>
          <w:szCs w:val="24"/>
          <w:lang w:val="fr-FR"/>
        </w:rPr>
        <w:t>Une réaction inflammatoire chronique</w:t>
      </w:r>
      <w:r w:rsidRPr="00380E14">
        <w:rPr>
          <w:rFonts w:asciiTheme="majorBidi" w:hAnsiTheme="majorBidi" w:cstheme="majorBidi"/>
          <w:sz w:val="24"/>
          <w:szCs w:val="24"/>
          <w:lang w:val="fr-FR"/>
        </w:rPr>
        <w:t xml:space="preserve"> se traduit par une nécrose nécessitant la dépose de l’implant. Les efforts de la recherche actuelle dans le domaine des biomatériaux consistent, dans un premier temps, à élaborer des composés possédant des propriétés mécaniques et structurales adaptées à leur future fonction. Ensuite, les biomatériaux développés doivent interagir de façon active avec le milieu « vivant » environnant tel que les tissus avoisinants le site d'implantation du matériau. Des réponses contrôlées sont recherchées à partir du biomatériau pour minimiser les réactions vis-à-vis de ce corps étranger, et moduler l’activation des cellules du système immunitaire. Ces nouveaux biomatériaux développés sont donc constitués de composés bioactifs capables d’interagir avec les cellules et d’induire une réponse spécifique des tissus environnants.</w:t>
      </w:r>
    </w:p>
    <w:p w:rsidR="00DF3002" w:rsidRPr="00380E14" w:rsidRDefault="00DF3002" w:rsidP="00D96272">
      <w:pPr>
        <w:ind w:firstLine="720"/>
        <w:contextualSpacing/>
        <w:rPr>
          <w:rFonts w:asciiTheme="majorBidi" w:hAnsiTheme="majorBidi" w:cstheme="majorBidi"/>
          <w:sz w:val="24"/>
          <w:szCs w:val="24"/>
          <w:lang w:val="fr-FR"/>
        </w:rPr>
      </w:pPr>
      <w:r w:rsidRPr="00380E14">
        <w:rPr>
          <w:rFonts w:asciiTheme="majorBidi" w:hAnsiTheme="majorBidi" w:cstheme="majorBidi"/>
          <w:sz w:val="24"/>
          <w:szCs w:val="24"/>
          <w:lang w:val="fr-FR"/>
        </w:rPr>
        <w:t xml:space="preserve">Une des caractéristiques indispensable des biomatériaux est leur biocompatibilité et leur inertie lors de leur intégration dans le corps humain, ceci afin d’éviter les phénomènes de rejet. </w:t>
      </w:r>
    </w:p>
    <w:p w:rsidR="00DF3002" w:rsidRPr="00380E14" w:rsidRDefault="00DF3002" w:rsidP="00D96272">
      <w:pPr>
        <w:contextualSpacing/>
        <w:rPr>
          <w:rFonts w:asciiTheme="majorBidi" w:hAnsiTheme="majorBidi" w:cstheme="majorBidi"/>
          <w:sz w:val="24"/>
          <w:szCs w:val="24"/>
          <w:lang w:val="fr-FR"/>
        </w:rPr>
      </w:pPr>
      <w:r w:rsidRPr="00380E14">
        <w:rPr>
          <w:rFonts w:asciiTheme="majorBidi" w:hAnsiTheme="majorBidi" w:cstheme="majorBidi"/>
          <w:sz w:val="24"/>
          <w:szCs w:val="24"/>
          <w:lang w:val="fr-FR"/>
        </w:rPr>
        <w:t xml:space="preserve">Une évolution récente est l’élaboration de composés biodégradables. De tels composés sont destinés à des applications thérapeutiques nécessitant une présence limitée dans le temps comme les fils de suture synthétiques résorbables tels que le </w:t>
      </w:r>
      <w:proofErr w:type="spellStart"/>
      <w:r w:rsidRPr="00380E14">
        <w:rPr>
          <w:rFonts w:asciiTheme="majorBidi" w:hAnsiTheme="majorBidi" w:cstheme="majorBidi"/>
          <w:sz w:val="24"/>
          <w:szCs w:val="24"/>
          <w:lang w:val="fr-FR"/>
        </w:rPr>
        <w:t>Vicryl</w:t>
      </w:r>
      <w:proofErr w:type="spellEnd"/>
      <w:r w:rsidRPr="00380E14">
        <w:rPr>
          <w:rFonts w:asciiTheme="majorBidi" w:hAnsiTheme="majorBidi" w:cstheme="majorBidi"/>
          <w:sz w:val="24"/>
          <w:szCs w:val="24"/>
          <w:lang w:val="fr-FR"/>
        </w:rPr>
        <w:t xml:space="preserve">® rapide ou le </w:t>
      </w:r>
      <w:proofErr w:type="spellStart"/>
      <w:r w:rsidRPr="00380E14">
        <w:rPr>
          <w:rFonts w:asciiTheme="majorBidi" w:hAnsiTheme="majorBidi" w:cstheme="majorBidi"/>
          <w:sz w:val="24"/>
          <w:szCs w:val="24"/>
          <w:lang w:val="fr-FR"/>
        </w:rPr>
        <w:t>Dexon</w:t>
      </w:r>
      <w:proofErr w:type="spellEnd"/>
      <w:r w:rsidRPr="00380E14">
        <w:rPr>
          <w:rFonts w:asciiTheme="majorBidi" w:hAnsiTheme="majorBidi" w:cstheme="majorBidi"/>
          <w:sz w:val="24"/>
          <w:szCs w:val="24"/>
          <w:lang w:val="fr-FR"/>
        </w:rPr>
        <w:t>®, les membranes biodégradables pour la cicatrisation des plaies, ou encore les éponges pour la régénération du tissu osseux.</w:t>
      </w:r>
    </w:p>
    <w:p w:rsidR="00856159" w:rsidRPr="00380E14" w:rsidRDefault="00DF3002" w:rsidP="00D96272">
      <w:pPr>
        <w:ind w:firstLine="720"/>
        <w:contextualSpacing/>
        <w:rPr>
          <w:rFonts w:asciiTheme="majorBidi" w:hAnsiTheme="majorBidi" w:cstheme="majorBidi"/>
          <w:sz w:val="24"/>
          <w:szCs w:val="24"/>
          <w:lang w:val="fr-FR"/>
        </w:rPr>
      </w:pPr>
      <w:r w:rsidRPr="00380E14">
        <w:rPr>
          <w:rFonts w:asciiTheme="majorBidi" w:hAnsiTheme="majorBidi" w:cstheme="majorBidi"/>
          <w:sz w:val="24"/>
          <w:szCs w:val="24"/>
          <w:lang w:val="fr-FR"/>
        </w:rPr>
        <w:t>Cependant, les limitations inhérentes à l’emploi des biomatériaux ont entraîné le développement du génie tissulaire qui s’efforce de reproduire les principales propriétés des tissus et de contrôler leur comportement dans le temps.</w:t>
      </w:r>
    </w:p>
    <w:p w:rsidR="00016796" w:rsidRDefault="00016796" w:rsidP="00D96272">
      <w:pPr>
        <w:contextualSpacing/>
        <w:rPr>
          <w:rFonts w:asciiTheme="majorBidi" w:hAnsiTheme="majorBidi" w:cstheme="majorBidi"/>
          <w:b/>
          <w:bCs/>
          <w:sz w:val="24"/>
          <w:szCs w:val="24"/>
          <w:u w:val="single"/>
          <w:lang w:val="fr-FR"/>
        </w:rPr>
      </w:pPr>
    </w:p>
    <w:p w:rsidR="00153D39" w:rsidRDefault="00153D39" w:rsidP="00D96272">
      <w:pPr>
        <w:contextualSpacing/>
        <w:rPr>
          <w:rFonts w:asciiTheme="majorBidi" w:hAnsiTheme="majorBidi" w:cstheme="majorBidi"/>
          <w:b/>
          <w:bCs/>
          <w:sz w:val="24"/>
          <w:szCs w:val="24"/>
          <w:u w:val="single"/>
          <w:lang w:val="fr-FR"/>
        </w:rPr>
      </w:pPr>
      <w:proofErr w:type="gramStart"/>
      <w:r w:rsidRPr="00016796">
        <w:rPr>
          <w:rFonts w:asciiTheme="majorBidi" w:hAnsiTheme="majorBidi" w:cstheme="majorBidi"/>
          <w:b/>
          <w:bCs/>
          <w:sz w:val="24"/>
          <w:szCs w:val="24"/>
          <w:u w:val="single"/>
          <w:lang w:val="fr-FR"/>
        </w:rPr>
        <w:t>Références</w:t>
      </w:r>
      <w:proofErr w:type="gramEnd"/>
      <w:r w:rsidRPr="00016796">
        <w:rPr>
          <w:rFonts w:asciiTheme="majorBidi" w:hAnsiTheme="majorBidi" w:cstheme="majorBidi"/>
          <w:b/>
          <w:bCs/>
          <w:sz w:val="24"/>
          <w:szCs w:val="24"/>
          <w:u w:val="single"/>
          <w:lang w:val="fr-FR"/>
        </w:rPr>
        <w:t> :</w:t>
      </w:r>
    </w:p>
    <w:p w:rsidR="00BF3925" w:rsidRPr="007355F8" w:rsidRDefault="00C06F04" w:rsidP="00D96272">
      <w:pPr>
        <w:pStyle w:val="Paragraphedeliste"/>
        <w:numPr>
          <w:ilvl w:val="0"/>
          <w:numId w:val="1"/>
        </w:numPr>
        <w:rPr>
          <w:rFonts w:ascii="Times New Roman" w:hAnsi="Times New Roman" w:cs="Times New Roman"/>
          <w:b/>
          <w:bCs/>
          <w:sz w:val="24"/>
          <w:szCs w:val="24"/>
          <w:u w:val="single"/>
          <w:lang w:val="fr-FR"/>
        </w:rPr>
      </w:pPr>
      <w:proofErr w:type="spellStart"/>
      <w:r w:rsidRPr="00C06F04">
        <w:rPr>
          <w:rFonts w:ascii="Times New Roman" w:hAnsi="Times New Roman" w:cs="Times New Roman"/>
          <w:color w:val="222222"/>
          <w:sz w:val="24"/>
          <w:szCs w:val="24"/>
          <w:shd w:val="clear" w:color="auto" w:fill="FFFFFF"/>
        </w:rPr>
        <w:t>Ratner</w:t>
      </w:r>
      <w:proofErr w:type="spellEnd"/>
      <w:r w:rsidRPr="00C06F04">
        <w:rPr>
          <w:rFonts w:ascii="Times New Roman" w:hAnsi="Times New Roman" w:cs="Times New Roman"/>
          <w:color w:val="222222"/>
          <w:sz w:val="24"/>
          <w:szCs w:val="24"/>
          <w:shd w:val="clear" w:color="auto" w:fill="FFFFFF"/>
        </w:rPr>
        <w:t>, B. D., &amp; Bryant, S. J. (2004). Biomaterials: where we have been and where we are going.</w:t>
      </w:r>
      <w:r w:rsidRPr="00C06F04">
        <w:rPr>
          <w:rStyle w:val="apple-converted-space"/>
          <w:rFonts w:ascii="Times New Roman" w:hAnsi="Times New Roman" w:cs="Times New Roman"/>
          <w:color w:val="222222"/>
          <w:sz w:val="24"/>
          <w:szCs w:val="24"/>
          <w:shd w:val="clear" w:color="auto" w:fill="FFFFFF"/>
        </w:rPr>
        <w:t> </w:t>
      </w:r>
      <w:proofErr w:type="spellStart"/>
      <w:r w:rsidRPr="00C06F04">
        <w:rPr>
          <w:rFonts w:ascii="Times New Roman" w:hAnsi="Times New Roman" w:cs="Times New Roman"/>
          <w:i/>
          <w:iCs/>
          <w:color w:val="222222"/>
          <w:sz w:val="24"/>
          <w:szCs w:val="24"/>
          <w:shd w:val="clear" w:color="auto" w:fill="FFFFFF"/>
        </w:rPr>
        <w:t>Annu</w:t>
      </w:r>
      <w:proofErr w:type="spellEnd"/>
      <w:r w:rsidRPr="00C06F04">
        <w:rPr>
          <w:rFonts w:ascii="Times New Roman" w:hAnsi="Times New Roman" w:cs="Times New Roman"/>
          <w:i/>
          <w:iCs/>
          <w:color w:val="222222"/>
          <w:sz w:val="24"/>
          <w:szCs w:val="24"/>
          <w:shd w:val="clear" w:color="auto" w:fill="FFFFFF"/>
        </w:rPr>
        <w:t>. Rev. Biomed. Eng.</w:t>
      </w:r>
      <w:r w:rsidRPr="00C06F04">
        <w:rPr>
          <w:rFonts w:ascii="Times New Roman" w:hAnsi="Times New Roman" w:cs="Times New Roman"/>
          <w:color w:val="222222"/>
          <w:sz w:val="24"/>
          <w:szCs w:val="24"/>
          <w:shd w:val="clear" w:color="auto" w:fill="FFFFFF"/>
        </w:rPr>
        <w:t>,</w:t>
      </w:r>
      <w:r w:rsidRPr="00C06F04">
        <w:rPr>
          <w:rStyle w:val="apple-converted-space"/>
          <w:rFonts w:ascii="Times New Roman" w:hAnsi="Times New Roman" w:cs="Times New Roman"/>
          <w:color w:val="222222"/>
          <w:sz w:val="24"/>
          <w:szCs w:val="24"/>
          <w:shd w:val="clear" w:color="auto" w:fill="FFFFFF"/>
        </w:rPr>
        <w:t> </w:t>
      </w:r>
      <w:r w:rsidRPr="00C06F04">
        <w:rPr>
          <w:rFonts w:ascii="Times New Roman" w:hAnsi="Times New Roman" w:cs="Times New Roman"/>
          <w:i/>
          <w:iCs/>
          <w:color w:val="222222"/>
          <w:sz w:val="24"/>
          <w:szCs w:val="24"/>
          <w:shd w:val="clear" w:color="auto" w:fill="FFFFFF"/>
        </w:rPr>
        <w:t>6</w:t>
      </w:r>
      <w:r w:rsidRPr="00C06F04">
        <w:rPr>
          <w:rFonts w:ascii="Times New Roman" w:hAnsi="Times New Roman" w:cs="Times New Roman"/>
          <w:color w:val="222222"/>
          <w:sz w:val="24"/>
          <w:szCs w:val="24"/>
          <w:shd w:val="clear" w:color="auto" w:fill="FFFFFF"/>
        </w:rPr>
        <w:t>, 41-75.</w:t>
      </w:r>
    </w:p>
    <w:p w:rsidR="007355F8" w:rsidRPr="008F70DB" w:rsidRDefault="007355F8" w:rsidP="00D96272">
      <w:pPr>
        <w:pStyle w:val="Paragraphedeliste"/>
        <w:numPr>
          <w:ilvl w:val="0"/>
          <w:numId w:val="1"/>
        </w:numPr>
        <w:rPr>
          <w:rFonts w:ascii="Times New Roman" w:hAnsi="Times New Roman" w:cs="Times New Roman"/>
          <w:b/>
          <w:bCs/>
          <w:sz w:val="24"/>
          <w:szCs w:val="24"/>
          <w:u w:val="single"/>
          <w:lang w:val="fr-FR"/>
        </w:rPr>
      </w:pPr>
      <w:r w:rsidRPr="007355F8">
        <w:rPr>
          <w:rFonts w:ascii="Times New Roman" w:hAnsi="Times New Roman" w:cs="Times New Roman"/>
          <w:color w:val="222222"/>
          <w:sz w:val="24"/>
          <w:szCs w:val="24"/>
          <w:shd w:val="clear" w:color="auto" w:fill="FFFFFF"/>
        </w:rPr>
        <w:t>Williams, D. F. (2008). On the mechanisms of biocompatibility.</w:t>
      </w:r>
      <w:r w:rsidRPr="007355F8">
        <w:rPr>
          <w:rStyle w:val="apple-converted-space"/>
          <w:rFonts w:ascii="Times New Roman" w:hAnsi="Times New Roman" w:cs="Times New Roman"/>
          <w:color w:val="222222"/>
          <w:sz w:val="24"/>
          <w:szCs w:val="24"/>
          <w:shd w:val="clear" w:color="auto" w:fill="FFFFFF"/>
        </w:rPr>
        <w:t> </w:t>
      </w:r>
      <w:r w:rsidRPr="007355F8">
        <w:rPr>
          <w:rFonts w:ascii="Times New Roman" w:hAnsi="Times New Roman" w:cs="Times New Roman"/>
          <w:i/>
          <w:iCs/>
          <w:color w:val="222222"/>
          <w:sz w:val="24"/>
          <w:szCs w:val="24"/>
          <w:shd w:val="clear" w:color="auto" w:fill="FFFFFF"/>
        </w:rPr>
        <w:t>Biomaterials</w:t>
      </w:r>
      <w:proofErr w:type="gramStart"/>
      <w:r w:rsidRPr="007355F8">
        <w:rPr>
          <w:rFonts w:ascii="Times New Roman" w:hAnsi="Times New Roman" w:cs="Times New Roman"/>
          <w:color w:val="222222"/>
          <w:sz w:val="24"/>
          <w:szCs w:val="24"/>
          <w:shd w:val="clear" w:color="auto" w:fill="FFFFFF"/>
        </w:rPr>
        <w:t>,</w:t>
      </w:r>
      <w:r w:rsidRPr="007355F8">
        <w:rPr>
          <w:rFonts w:ascii="Times New Roman" w:hAnsi="Times New Roman" w:cs="Times New Roman"/>
          <w:i/>
          <w:iCs/>
          <w:color w:val="222222"/>
          <w:sz w:val="24"/>
          <w:szCs w:val="24"/>
          <w:shd w:val="clear" w:color="auto" w:fill="FFFFFF"/>
        </w:rPr>
        <w:t>29</w:t>
      </w:r>
      <w:proofErr w:type="gramEnd"/>
      <w:r w:rsidRPr="007355F8">
        <w:rPr>
          <w:rFonts w:ascii="Times New Roman" w:hAnsi="Times New Roman" w:cs="Times New Roman"/>
          <w:color w:val="222222"/>
          <w:sz w:val="24"/>
          <w:szCs w:val="24"/>
          <w:shd w:val="clear" w:color="auto" w:fill="FFFFFF"/>
        </w:rPr>
        <w:t>(20), 2941-2953.</w:t>
      </w:r>
    </w:p>
    <w:p w:rsidR="008F70DB" w:rsidRPr="00257F9B" w:rsidRDefault="008F70DB" w:rsidP="00D96272">
      <w:pPr>
        <w:pStyle w:val="Paragraphedeliste"/>
        <w:widowControl w:val="0"/>
        <w:numPr>
          <w:ilvl w:val="0"/>
          <w:numId w:val="1"/>
        </w:numPr>
        <w:autoSpaceDE w:val="0"/>
        <w:autoSpaceDN w:val="0"/>
        <w:adjustRightInd w:val="0"/>
        <w:rPr>
          <w:rFonts w:asciiTheme="majorBidi" w:eastAsia="MS Mincho" w:hAnsiTheme="majorBidi" w:cstheme="majorBidi"/>
          <w:sz w:val="24"/>
          <w:szCs w:val="24"/>
          <w:lang w:val="fr-FR"/>
        </w:rPr>
      </w:pPr>
      <w:proofErr w:type="spellStart"/>
      <w:r w:rsidRPr="00257F9B">
        <w:rPr>
          <w:rFonts w:asciiTheme="majorBidi" w:hAnsiTheme="majorBidi" w:cstheme="majorBidi"/>
          <w:color w:val="222222"/>
          <w:sz w:val="24"/>
          <w:szCs w:val="24"/>
          <w:shd w:val="clear" w:color="auto" w:fill="FFFFFF"/>
          <w:lang w:val="fr-FR"/>
        </w:rPr>
        <w:t>Chetouani</w:t>
      </w:r>
      <w:proofErr w:type="spellEnd"/>
      <w:r w:rsidRPr="00257F9B">
        <w:rPr>
          <w:rFonts w:asciiTheme="majorBidi" w:hAnsiTheme="majorBidi" w:cstheme="majorBidi"/>
          <w:color w:val="222222"/>
          <w:sz w:val="24"/>
          <w:szCs w:val="24"/>
          <w:shd w:val="clear" w:color="auto" w:fill="FFFFFF"/>
          <w:lang w:val="fr-FR"/>
        </w:rPr>
        <w:t>, A. (2011).</w:t>
      </w:r>
      <w:r w:rsidRPr="00257F9B">
        <w:rPr>
          <w:rStyle w:val="apple-converted-space"/>
          <w:rFonts w:asciiTheme="majorBidi" w:hAnsiTheme="majorBidi" w:cstheme="majorBidi"/>
          <w:color w:val="222222"/>
          <w:sz w:val="24"/>
          <w:szCs w:val="24"/>
          <w:shd w:val="clear" w:color="auto" w:fill="FFFFFF"/>
          <w:lang w:val="fr-FR"/>
        </w:rPr>
        <w:t> </w:t>
      </w:r>
      <w:r w:rsidRPr="00257F9B">
        <w:rPr>
          <w:rFonts w:asciiTheme="majorBidi" w:hAnsiTheme="majorBidi" w:cstheme="majorBidi"/>
          <w:i/>
          <w:iCs/>
          <w:color w:val="222222"/>
          <w:sz w:val="24"/>
          <w:szCs w:val="24"/>
          <w:shd w:val="clear" w:color="auto" w:fill="FFFFFF"/>
          <w:lang w:val="fr-FR"/>
        </w:rPr>
        <w:t xml:space="preserve">Développement dans le génie tissulaire d’un complexe </w:t>
      </w:r>
      <w:proofErr w:type="spellStart"/>
      <w:r w:rsidRPr="00257F9B">
        <w:rPr>
          <w:rFonts w:asciiTheme="majorBidi" w:hAnsiTheme="majorBidi" w:cstheme="majorBidi"/>
          <w:i/>
          <w:iCs/>
          <w:color w:val="222222"/>
          <w:sz w:val="24"/>
          <w:szCs w:val="24"/>
          <w:shd w:val="clear" w:color="auto" w:fill="FFFFFF"/>
          <w:lang w:val="fr-FR"/>
        </w:rPr>
        <w:t>polyionique</w:t>
      </w:r>
      <w:proofErr w:type="spellEnd"/>
      <w:r w:rsidRPr="00257F9B">
        <w:rPr>
          <w:rFonts w:asciiTheme="majorBidi" w:hAnsiTheme="majorBidi" w:cstheme="majorBidi"/>
          <w:i/>
          <w:iCs/>
          <w:color w:val="222222"/>
          <w:sz w:val="24"/>
          <w:szCs w:val="24"/>
          <w:shd w:val="clear" w:color="auto" w:fill="FFFFFF"/>
          <w:lang w:val="fr-FR"/>
        </w:rPr>
        <w:t xml:space="preserve"> à base de gélatine/</w:t>
      </w:r>
      <w:proofErr w:type="spellStart"/>
      <w:r w:rsidRPr="00257F9B">
        <w:rPr>
          <w:rFonts w:asciiTheme="majorBidi" w:hAnsiTheme="majorBidi" w:cstheme="majorBidi"/>
          <w:i/>
          <w:iCs/>
          <w:color w:val="222222"/>
          <w:sz w:val="24"/>
          <w:szCs w:val="24"/>
          <w:shd w:val="clear" w:color="auto" w:fill="FFFFFF"/>
          <w:lang w:val="fr-FR"/>
        </w:rPr>
        <w:t>carboxyméthylcellulose</w:t>
      </w:r>
      <w:proofErr w:type="spellEnd"/>
      <w:r w:rsidRPr="00257F9B">
        <w:rPr>
          <w:rStyle w:val="apple-converted-space"/>
          <w:rFonts w:asciiTheme="majorBidi" w:hAnsiTheme="majorBidi" w:cstheme="majorBidi"/>
          <w:color w:val="222222"/>
          <w:sz w:val="24"/>
          <w:szCs w:val="24"/>
          <w:shd w:val="clear" w:color="auto" w:fill="FFFFFF"/>
          <w:lang w:val="fr-FR"/>
        </w:rPr>
        <w:t> </w:t>
      </w:r>
      <w:r w:rsidRPr="00257F9B">
        <w:rPr>
          <w:rFonts w:asciiTheme="majorBidi" w:hAnsiTheme="majorBidi" w:cstheme="majorBidi"/>
          <w:color w:val="222222"/>
          <w:sz w:val="24"/>
          <w:szCs w:val="24"/>
          <w:shd w:val="clear" w:color="auto" w:fill="FFFFFF"/>
          <w:lang w:val="fr-FR"/>
        </w:rPr>
        <w:t xml:space="preserve">(dissertation, Université </w:t>
      </w:r>
      <w:proofErr w:type="spellStart"/>
      <w:r w:rsidRPr="00257F9B">
        <w:rPr>
          <w:rFonts w:asciiTheme="majorBidi" w:hAnsiTheme="majorBidi" w:cstheme="majorBidi"/>
          <w:color w:val="222222"/>
          <w:sz w:val="24"/>
          <w:szCs w:val="24"/>
          <w:shd w:val="clear" w:color="auto" w:fill="FFFFFF"/>
          <w:lang w:val="fr-FR"/>
        </w:rPr>
        <w:t>Setif</w:t>
      </w:r>
      <w:proofErr w:type="spellEnd"/>
      <w:r w:rsidRPr="00257F9B">
        <w:rPr>
          <w:rFonts w:asciiTheme="majorBidi" w:hAnsiTheme="majorBidi" w:cstheme="majorBidi"/>
          <w:color w:val="222222"/>
          <w:sz w:val="24"/>
          <w:szCs w:val="24"/>
          <w:shd w:val="clear" w:color="auto" w:fill="FFFFFF"/>
          <w:lang w:val="fr-FR"/>
        </w:rPr>
        <w:t>).</w:t>
      </w:r>
    </w:p>
    <w:p w:rsidR="008F70DB" w:rsidRPr="007355F8" w:rsidRDefault="008F70DB" w:rsidP="00D96272">
      <w:pPr>
        <w:pStyle w:val="Paragraphedeliste"/>
        <w:rPr>
          <w:rFonts w:ascii="Times New Roman" w:hAnsi="Times New Roman" w:cs="Times New Roman"/>
          <w:b/>
          <w:bCs/>
          <w:sz w:val="24"/>
          <w:szCs w:val="24"/>
          <w:u w:val="single"/>
          <w:lang w:val="fr-FR"/>
        </w:rPr>
      </w:pPr>
    </w:p>
    <w:sectPr w:rsidR="008F70DB" w:rsidRPr="007355F8" w:rsidSect="00D96272">
      <w:footerReference w:type="default" r:id="rId7"/>
      <w:pgSz w:w="11906" w:h="16838"/>
      <w:pgMar w:top="1134" w:right="1418" w:bottom="397" w:left="1418" w:header="709" w:footer="709"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74C" w:rsidRDefault="0045274C" w:rsidP="004A6C3A">
      <w:pPr>
        <w:spacing w:line="240" w:lineRule="auto"/>
      </w:pPr>
      <w:r>
        <w:separator/>
      </w:r>
    </w:p>
  </w:endnote>
  <w:endnote w:type="continuationSeparator" w:id="0">
    <w:p w:rsidR="0045274C" w:rsidRDefault="0045274C" w:rsidP="004A6C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8604"/>
      <w:docPartObj>
        <w:docPartGallery w:val="Page Numbers (Bottom of Page)"/>
        <w:docPartUnique/>
      </w:docPartObj>
    </w:sdtPr>
    <w:sdtContent>
      <w:p w:rsidR="004A6C3A" w:rsidRDefault="00843BAF">
        <w:pPr>
          <w:pStyle w:val="Pieddepage"/>
          <w:jc w:val="right"/>
        </w:pPr>
        <w:fldSimple w:instr=" PAGE   \* MERGEFORMAT ">
          <w:r w:rsidR="00D96272">
            <w:rPr>
              <w:noProof/>
            </w:rPr>
            <w:t>15</w:t>
          </w:r>
        </w:fldSimple>
      </w:p>
    </w:sdtContent>
  </w:sdt>
  <w:p w:rsidR="004A6C3A" w:rsidRDefault="004A6C3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74C" w:rsidRDefault="0045274C" w:rsidP="004A6C3A">
      <w:pPr>
        <w:spacing w:line="240" w:lineRule="auto"/>
      </w:pPr>
      <w:r>
        <w:separator/>
      </w:r>
    </w:p>
  </w:footnote>
  <w:footnote w:type="continuationSeparator" w:id="0">
    <w:p w:rsidR="0045274C" w:rsidRDefault="0045274C" w:rsidP="004A6C3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C2A74"/>
    <w:multiLevelType w:val="hybridMultilevel"/>
    <w:tmpl w:val="98323D3E"/>
    <w:lvl w:ilvl="0" w:tplc="E17261F0">
      <w:start w:val="1"/>
      <w:numFmt w:val="bullet"/>
      <w:lvlText w:val="-"/>
      <w:lvlJc w:val="left"/>
      <w:pPr>
        <w:tabs>
          <w:tab w:val="num" w:pos="720"/>
        </w:tabs>
        <w:ind w:left="720" w:hanging="360"/>
      </w:pPr>
      <w:rPr>
        <w:rFonts w:ascii="Times New Roman" w:hAnsi="Times New Roman" w:hint="default"/>
      </w:rPr>
    </w:lvl>
    <w:lvl w:ilvl="1" w:tplc="A308F3F2" w:tentative="1">
      <w:start w:val="1"/>
      <w:numFmt w:val="bullet"/>
      <w:lvlText w:val="-"/>
      <w:lvlJc w:val="left"/>
      <w:pPr>
        <w:tabs>
          <w:tab w:val="num" w:pos="1440"/>
        </w:tabs>
        <w:ind w:left="1440" w:hanging="360"/>
      </w:pPr>
      <w:rPr>
        <w:rFonts w:ascii="Times New Roman" w:hAnsi="Times New Roman" w:hint="default"/>
      </w:rPr>
    </w:lvl>
    <w:lvl w:ilvl="2" w:tplc="4CAE3234" w:tentative="1">
      <w:start w:val="1"/>
      <w:numFmt w:val="bullet"/>
      <w:lvlText w:val="-"/>
      <w:lvlJc w:val="left"/>
      <w:pPr>
        <w:tabs>
          <w:tab w:val="num" w:pos="2160"/>
        </w:tabs>
        <w:ind w:left="2160" w:hanging="360"/>
      </w:pPr>
      <w:rPr>
        <w:rFonts w:ascii="Times New Roman" w:hAnsi="Times New Roman" w:hint="default"/>
      </w:rPr>
    </w:lvl>
    <w:lvl w:ilvl="3" w:tplc="78DE551C" w:tentative="1">
      <w:start w:val="1"/>
      <w:numFmt w:val="bullet"/>
      <w:lvlText w:val="-"/>
      <w:lvlJc w:val="left"/>
      <w:pPr>
        <w:tabs>
          <w:tab w:val="num" w:pos="2880"/>
        </w:tabs>
        <w:ind w:left="2880" w:hanging="360"/>
      </w:pPr>
      <w:rPr>
        <w:rFonts w:ascii="Times New Roman" w:hAnsi="Times New Roman" w:hint="default"/>
      </w:rPr>
    </w:lvl>
    <w:lvl w:ilvl="4" w:tplc="AAFCF9D2" w:tentative="1">
      <w:start w:val="1"/>
      <w:numFmt w:val="bullet"/>
      <w:lvlText w:val="-"/>
      <w:lvlJc w:val="left"/>
      <w:pPr>
        <w:tabs>
          <w:tab w:val="num" w:pos="3600"/>
        </w:tabs>
        <w:ind w:left="3600" w:hanging="360"/>
      </w:pPr>
      <w:rPr>
        <w:rFonts w:ascii="Times New Roman" w:hAnsi="Times New Roman" w:hint="default"/>
      </w:rPr>
    </w:lvl>
    <w:lvl w:ilvl="5" w:tplc="AEB0063C" w:tentative="1">
      <w:start w:val="1"/>
      <w:numFmt w:val="bullet"/>
      <w:lvlText w:val="-"/>
      <w:lvlJc w:val="left"/>
      <w:pPr>
        <w:tabs>
          <w:tab w:val="num" w:pos="4320"/>
        </w:tabs>
        <w:ind w:left="4320" w:hanging="360"/>
      </w:pPr>
      <w:rPr>
        <w:rFonts w:ascii="Times New Roman" w:hAnsi="Times New Roman" w:hint="default"/>
      </w:rPr>
    </w:lvl>
    <w:lvl w:ilvl="6" w:tplc="6FE05C66" w:tentative="1">
      <w:start w:val="1"/>
      <w:numFmt w:val="bullet"/>
      <w:lvlText w:val="-"/>
      <w:lvlJc w:val="left"/>
      <w:pPr>
        <w:tabs>
          <w:tab w:val="num" w:pos="5040"/>
        </w:tabs>
        <w:ind w:left="5040" w:hanging="360"/>
      </w:pPr>
      <w:rPr>
        <w:rFonts w:ascii="Times New Roman" w:hAnsi="Times New Roman" w:hint="default"/>
      </w:rPr>
    </w:lvl>
    <w:lvl w:ilvl="7" w:tplc="0DA0FAC6" w:tentative="1">
      <w:start w:val="1"/>
      <w:numFmt w:val="bullet"/>
      <w:lvlText w:val="-"/>
      <w:lvlJc w:val="left"/>
      <w:pPr>
        <w:tabs>
          <w:tab w:val="num" w:pos="5760"/>
        </w:tabs>
        <w:ind w:left="5760" w:hanging="360"/>
      </w:pPr>
      <w:rPr>
        <w:rFonts w:ascii="Times New Roman" w:hAnsi="Times New Roman" w:hint="default"/>
      </w:rPr>
    </w:lvl>
    <w:lvl w:ilvl="8" w:tplc="30D4859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DF3002"/>
    <w:rsid w:val="00016796"/>
    <w:rsid w:val="000B56C7"/>
    <w:rsid w:val="000D3EE7"/>
    <w:rsid w:val="00137558"/>
    <w:rsid w:val="00153D39"/>
    <w:rsid w:val="001A7D75"/>
    <w:rsid w:val="001C4BF3"/>
    <w:rsid w:val="00221D19"/>
    <w:rsid w:val="002351EA"/>
    <w:rsid w:val="00380E14"/>
    <w:rsid w:val="003C65CB"/>
    <w:rsid w:val="003D4421"/>
    <w:rsid w:val="0045274C"/>
    <w:rsid w:val="004A6C3A"/>
    <w:rsid w:val="005307A2"/>
    <w:rsid w:val="0059391E"/>
    <w:rsid w:val="00653E7D"/>
    <w:rsid w:val="00676BFB"/>
    <w:rsid w:val="00700E03"/>
    <w:rsid w:val="007355F8"/>
    <w:rsid w:val="00767F18"/>
    <w:rsid w:val="00833051"/>
    <w:rsid w:val="00843BAF"/>
    <w:rsid w:val="00856159"/>
    <w:rsid w:val="008F70DB"/>
    <w:rsid w:val="008F79AC"/>
    <w:rsid w:val="0095519C"/>
    <w:rsid w:val="009617A8"/>
    <w:rsid w:val="00996093"/>
    <w:rsid w:val="00996FA8"/>
    <w:rsid w:val="00AE3458"/>
    <w:rsid w:val="00AF1C12"/>
    <w:rsid w:val="00B86F97"/>
    <w:rsid w:val="00BA1EBA"/>
    <w:rsid w:val="00BC5948"/>
    <w:rsid w:val="00BE2624"/>
    <w:rsid w:val="00BF3925"/>
    <w:rsid w:val="00C06F04"/>
    <w:rsid w:val="00C17369"/>
    <w:rsid w:val="00C3611B"/>
    <w:rsid w:val="00C655B7"/>
    <w:rsid w:val="00C67C64"/>
    <w:rsid w:val="00D64BB2"/>
    <w:rsid w:val="00D916AD"/>
    <w:rsid w:val="00D96272"/>
    <w:rsid w:val="00DA65DE"/>
    <w:rsid w:val="00DF3002"/>
    <w:rsid w:val="00DF4923"/>
    <w:rsid w:val="00EE5EA3"/>
    <w:rsid w:val="00F0042C"/>
    <w:rsid w:val="00F3606C"/>
    <w:rsid w:val="00F776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002"/>
    <w:pPr>
      <w:spacing w:after="0" w:line="360" w:lineRule="auto"/>
      <w:jc w:val="both"/>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6C3A"/>
    <w:pPr>
      <w:tabs>
        <w:tab w:val="center" w:pos="4536"/>
        <w:tab w:val="right" w:pos="9072"/>
      </w:tabs>
      <w:spacing w:line="240" w:lineRule="auto"/>
    </w:pPr>
  </w:style>
  <w:style w:type="character" w:customStyle="1" w:styleId="En-tteCar">
    <w:name w:val="En-tête Car"/>
    <w:basedOn w:val="Policepardfaut"/>
    <w:link w:val="En-tte"/>
    <w:uiPriority w:val="99"/>
    <w:rsid w:val="004A6C3A"/>
    <w:rPr>
      <w:rFonts w:eastAsiaTheme="minorEastAsia"/>
      <w:lang w:val="en-US"/>
    </w:rPr>
  </w:style>
  <w:style w:type="paragraph" w:styleId="Pieddepage">
    <w:name w:val="footer"/>
    <w:basedOn w:val="Normal"/>
    <w:link w:val="PieddepageCar"/>
    <w:uiPriority w:val="99"/>
    <w:unhideWhenUsed/>
    <w:rsid w:val="004A6C3A"/>
    <w:pPr>
      <w:tabs>
        <w:tab w:val="center" w:pos="4536"/>
        <w:tab w:val="right" w:pos="9072"/>
      </w:tabs>
      <w:spacing w:line="240" w:lineRule="auto"/>
    </w:pPr>
  </w:style>
  <w:style w:type="character" w:customStyle="1" w:styleId="PieddepageCar">
    <w:name w:val="Pied de page Car"/>
    <w:basedOn w:val="Policepardfaut"/>
    <w:link w:val="Pieddepage"/>
    <w:uiPriority w:val="99"/>
    <w:rsid w:val="004A6C3A"/>
    <w:rPr>
      <w:rFonts w:eastAsiaTheme="minorEastAsia"/>
      <w:lang w:val="en-US"/>
    </w:rPr>
  </w:style>
  <w:style w:type="paragraph" w:styleId="Paragraphedeliste">
    <w:name w:val="List Paragraph"/>
    <w:basedOn w:val="Normal"/>
    <w:uiPriority w:val="34"/>
    <w:qFormat/>
    <w:rsid w:val="00996FA8"/>
    <w:pPr>
      <w:ind w:left="720"/>
      <w:contextualSpacing/>
    </w:pPr>
  </w:style>
  <w:style w:type="character" w:customStyle="1" w:styleId="apple-converted-space">
    <w:name w:val="apple-converted-space"/>
    <w:basedOn w:val="Policepardfaut"/>
    <w:rsid w:val="00996FA8"/>
  </w:style>
</w:styles>
</file>

<file path=word/webSettings.xml><?xml version="1.0" encoding="utf-8"?>
<w:webSettings xmlns:r="http://schemas.openxmlformats.org/officeDocument/2006/relationships" xmlns:w="http://schemas.openxmlformats.org/wordprocessingml/2006/main">
  <w:divs>
    <w:div w:id="54992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4054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2017-06-26T13:28:00Z</dcterms:created>
  <dcterms:modified xsi:type="dcterms:W3CDTF">2017-06-26T13:28:00Z</dcterms:modified>
</cp:coreProperties>
</file>