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557" w:tblpY="-493"/>
        <w:tblW w:w="0" w:type="auto"/>
        <w:tblCellSpacing w:w="0" w:type="dxa"/>
        <w:tblBorders>
          <w:top w:val="single" w:sz="6" w:space="0" w:color="97ACBD"/>
          <w:left w:val="single" w:sz="6" w:space="0" w:color="97ACBD"/>
          <w:bottom w:val="single" w:sz="2" w:space="0" w:color="97ACBD"/>
          <w:right w:val="single" w:sz="2" w:space="0" w:color="97ACBD"/>
        </w:tblBorders>
        <w:shd w:val="clear" w:color="auto" w:fill="EDECE4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93"/>
        <w:gridCol w:w="4998"/>
      </w:tblGrid>
      <w:tr w:rsidR="009550B5" w:rsidRPr="009550B5" w:rsidTr="009550B5">
        <w:trPr>
          <w:gridAfter w:val="1"/>
          <w:wAfter w:w="4998" w:type="dxa"/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lang w:eastAsia="fr-FR"/>
              </w:rPr>
              <w:t xml:space="preserve">Université de 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Bouira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 xml:space="preserve"> - 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Akli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Mohand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Ouelhadj</w:t>
            </w:r>
            <w:proofErr w:type="spellEnd"/>
          </w:p>
        </w:tc>
      </w:tr>
      <w:tr w:rsidR="009550B5" w:rsidRPr="009550B5" w:rsidTr="009550B5">
        <w:trPr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b/>
                <w:bCs/>
                <w:lang w:eastAsia="fr-FR"/>
              </w:rPr>
              <w:t>Affiliation</w:t>
            </w:r>
          </w:p>
        </w:tc>
        <w:tc>
          <w:tcPr>
            <w:tcW w:w="4998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lang w:eastAsia="fr-FR"/>
              </w:rPr>
              <w:t>Département de Langue et culture Amazigh</w:t>
            </w:r>
          </w:p>
        </w:tc>
      </w:tr>
      <w:tr w:rsidR="009550B5" w:rsidRPr="009550B5" w:rsidTr="009550B5">
        <w:trPr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b/>
                <w:bCs/>
                <w:lang w:eastAsia="fr-FR"/>
              </w:rPr>
              <w:t>Auteur</w:t>
            </w:r>
          </w:p>
        </w:tc>
        <w:tc>
          <w:tcPr>
            <w:tcW w:w="4998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9550B5">
              <w:rPr>
                <w:rFonts w:ascii="Arial" w:eastAsia="Times New Roman" w:hAnsi="Arial" w:cs="Arial"/>
                <w:lang w:eastAsia="fr-FR"/>
              </w:rPr>
              <w:t>DJELLOUDI ,</w:t>
            </w:r>
            <w:proofErr w:type="gramEnd"/>
            <w:r w:rsidRPr="009550B5">
              <w:rPr>
                <w:rFonts w:ascii="Arial" w:eastAsia="Times New Roman" w:hAnsi="Arial" w:cs="Arial"/>
                <w:lang w:eastAsia="fr-FR"/>
              </w:rPr>
              <w:t xml:space="preserve"> Liza</w:t>
            </w:r>
          </w:p>
        </w:tc>
      </w:tr>
      <w:tr w:rsidR="009550B5" w:rsidRPr="009550B5" w:rsidTr="009550B5">
        <w:trPr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b/>
                <w:bCs/>
                <w:lang w:eastAsia="fr-FR"/>
              </w:rPr>
              <w:t>Directeur de thèse</w:t>
            </w:r>
          </w:p>
        </w:tc>
        <w:tc>
          <w:tcPr>
            <w:tcW w:w="4998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lang w:eastAsia="fr-FR"/>
              </w:rPr>
              <w:t xml:space="preserve">TIDJET Mustapha (Maitre de </w:t>
            </w:r>
            <w:proofErr w:type="gramStart"/>
            <w:r w:rsidRPr="009550B5">
              <w:rPr>
                <w:rFonts w:ascii="Arial" w:eastAsia="Times New Roman" w:hAnsi="Arial" w:cs="Arial"/>
                <w:lang w:eastAsia="fr-FR"/>
              </w:rPr>
              <w:t>conférence</w:t>
            </w:r>
            <w:proofErr w:type="gramEnd"/>
            <w:r w:rsidRPr="009550B5">
              <w:rPr>
                <w:rFonts w:ascii="Arial" w:eastAsia="Times New Roman" w:hAnsi="Arial" w:cs="Arial"/>
                <w:lang w:eastAsia="fr-FR"/>
              </w:rPr>
              <w:t>)</w:t>
            </w:r>
          </w:p>
        </w:tc>
      </w:tr>
      <w:tr w:rsidR="009550B5" w:rsidRPr="009550B5" w:rsidTr="009550B5">
        <w:trPr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b/>
                <w:bCs/>
                <w:lang w:eastAsia="fr-FR"/>
              </w:rPr>
              <w:t>Filière</w:t>
            </w:r>
          </w:p>
        </w:tc>
        <w:tc>
          <w:tcPr>
            <w:tcW w:w="4998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lang w:eastAsia="fr-FR"/>
              </w:rPr>
              <w:t>Langue et Culture Amazighes</w:t>
            </w:r>
          </w:p>
        </w:tc>
      </w:tr>
      <w:tr w:rsidR="009550B5" w:rsidRPr="009550B5" w:rsidTr="009550B5">
        <w:trPr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b/>
                <w:bCs/>
                <w:lang w:eastAsia="fr-FR"/>
              </w:rPr>
              <w:t>Diplôme</w:t>
            </w:r>
          </w:p>
        </w:tc>
        <w:tc>
          <w:tcPr>
            <w:tcW w:w="4998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lang w:eastAsia="fr-FR"/>
              </w:rPr>
              <w:t>Doctorat LMD</w:t>
            </w:r>
          </w:p>
        </w:tc>
      </w:tr>
      <w:tr w:rsidR="009550B5" w:rsidRPr="009550B5" w:rsidTr="009550B5">
        <w:trPr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b/>
                <w:bCs/>
                <w:lang w:eastAsia="fr-FR"/>
              </w:rPr>
              <w:t>Titre</w:t>
            </w:r>
          </w:p>
        </w:tc>
        <w:tc>
          <w:tcPr>
            <w:tcW w:w="4998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lang w:eastAsia="fr-FR"/>
              </w:rPr>
              <w:t xml:space="preserve">La Toponymie dans les tribus des Ait Abbas et Ait 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Wartilan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>: étude morphosémantique et anthropologique.</w:t>
            </w:r>
          </w:p>
        </w:tc>
      </w:tr>
      <w:tr w:rsidR="009550B5" w:rsidRPr="009550B5" w:rsidTr="009550B5">
        <w:trPr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b/>
                <w:bCs/>
                <w:lang w:eastAsia="fr-FR"/>
              </w:rPr>
              <w:t>Mots clés</w:t>
            </w:r>
          </w:p>
        </w:tc>
        <w:tc>
          <w:tcPr>
            <w:tcW w:w="4998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lang w:eastAsia="fr-FR"/>
              </w:rPr>
              <w:t>Toponymie/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Anthropo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>-linguistique Amazighe/Onomastique Algérienne/Lexicologie/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Morpho-sémantique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>.</w:t>
            </w:r>
          </w:p>
        </w:tc>
      </w:tr>
      <w:tr w:rsidR="009550B5" w:rsidRPr="009550B5" w:rsidTr="009550B5">
        <w:trPr>
          <w:tblCellSpacing w:w="0" w:type="dxa"/>
        </w:trPr>
        <w:tc>
          <w:tcPr>
            <w:tcW w:w="4093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b/>
                <w:bCs/>
                <w:lang w:eastAsia="fr-FR"/>
              </w:rPr>
              <w:t>Résumé</w:t>
            </w:r>
          </w:p>
        </w:tc>
        <w:tc>
          <w:tcPr>
            <w:tcW w:w="4998" w:type="dxa"/>
            <w:tcBorders>
              <w:top w:val="single" w:sz="2" w:space="0" w:color="97ACBD"/>
              <w:left w:val="single" w:sz="2" w:space="0" w:color="97ACBD"/>
              <w:bottom w:val="single" w:sz="6" w:space="0" w:color="97ACBD"/>
              <w:right w:val="single" w:sz="6" w:space="0" w:color="97ACBD"/>
            </w:tcBorders>
            <w:shd w:val="clear" w:color="auto" w:fill="EDECE4"/>
            <w:hideMark/>
          </w:tcPr>
          <w:p w:rsidR="009550B5" w:rsidRPr="009550B5" w:rsidRDefault="009550B5" w:rsidP="009550B5">
            <w:pPr>
              <w:spacing w:before="146" w:after="146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50B5">
              <w:rPr>
                <w:rFonts w:ascii="Arial" w:eastAsia="Times New Roman" w:hAnsi="Arial" w:cs="Arial"/>
                <w:lang w:eastAsia="fr-FR"/>
              </w:rPr>
              <w:t xml:space="preserve">Notre travail de recherche se fixe comme objectif de contribuer à l’étude de la toponymie. Nous allons inscrire notre approche théorique et méthodologique dans la continuité des travaux d’onomastiques qui prennent en compte à la fois la dimension linguistique et anthropologique de la toponymie. Il s’agira, sur le plan linguistique, d’étudier l’étymologie de noms des lieux, leur classement en catégories sémantiques, leurs caractéristiques morphologiques ; sur le plan anthropologique, il s’agira de mettre en exergue l’impact de l’administration sur l’espace onomastique ; comment la politique administrative transforme-t-elle les l’espaces onomastiques ? Quel type de changement les toponymes subissent-ils ? Ce qui nous permettra de faire l’histoire des noms attribuer à des lieux et des territoires et à des espaces géographiques, de mettre en exergue à la fois les anciens noms, la manière et les raisons de leurs transformations. L’objectif étant de contribuer à redonner à l’espace toponymique son identité originelle et rendre possible sa réappropriation par les populations qui l’occupent. Les deux tribus constituant notre terrain d’enquête se trouvent sur deux circonscriptions administratives différentes ; arabophone pour le cas des Ait 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Wartilan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 xml:space="preserve">, 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kabylophone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 xml:space="preserve"> pour le cas des Ait Abbas. Nous </w:t>
            </w:r>
            <w:r w:rsidRPr="009550B5">
              <w:rPr>
                <w:rFonts w:ascii="Arial" w:eastAsia="Times New Roman" w:hAnsi="Arial" w:cs="Arial"/>
                <w:lang w:eastAsia="fr-FR"/>
              </w:rPr>
              <w:lastRenderedPageBreak/>
              <w:t xml:space="preserve">allons vérifier quelle est la région qui serait la plus impacté par le processus d’arabisation et quel rapport les populations qui y résident entretiennent-elles avec la toponymie de leurs espaces et les changements qu’elle avait subis. Cette appartenance à deux régions linguistiquement différentes pourrait-elle être la source de la différence de degré de l’impact de l’administration sur la toponymie, autrement dit les Ait </w:t>
            </w:r>
            <w:proofErr w:type="spellStart"/>
            <w:r w:rsidRPr="009550B5">
              <w:rPr>
                <w:rFonts w:ascii="Arial" w:eastAsia="Times New Roman" w:hAnsi="Arial" w:cs="Arial"/>
                <w:lang w:eastAsia="fr-FR"/>
              </w:rPr>
              <w:t>Wartlian</w:t>
            </w:r>
            <w:proofErr w:type="spellEnd"/>
            <w:r w:rsidRPr="009550B5">
              <w:rPr>
                <w:rFonts w:ascii="Arial" w:eastAsia="Times New Roman" w:hAnsi="Arial" w:cs="Arial"/>
                <w:lang w:eastAsia="fr-FR"/>
              </w:rPr>
              <w:t xml:space="preserve"> sont-ils plus impacté dans leurs espace toponymique que les Ait Abbas par le fait même qu’ils appartiennent administrativement à une circonscription arabophone.</w:t>
            </w:r>
          </w:p>
        </w:tc>
      </w:tr>
    </w:tbl>
    <w:p w:rsidR="007A677A" w:rsidRDefault="007A677A"/>
    <w:sectPr w:rsidR="007A677A" w:rsidSect="007A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550B5"/>
    <w:rsid w:val="0034411A"/>
    <w:rsid w:val="007A677A"/>
    <w:rsid w:val="0095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1</cp:revision>
  <dcterms:created xsi:type="dcterms:W3CDTF">2019-10-15T09:27:00Z</dcterms:created>
  <dcterms:modified xsi:type="dcterms:W3CDTF">2019-10-15T09:28:00Z</dcterms:modified>
</cp:coreProperties>
</file>