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8D" w:rsidRDefault="00D07D8D">
      <w:r>
        <w:rPr>
          <w:noProof/>
          <w:lang w:eastAsia="fr-FR"/>
        </w:rPr>
        <w:drawing>
          <wp:inline distT="0" distB="0" distL="0" distR="0">
            <wp:extent cx="6219825" cy="3552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47" cy="35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8D" w:rsidRDefault="00D07D8D" w:rsidP="00D07D8D"/>
    <w:p w:rsidR="00D07D8D" w:rsidRPr="00D07D8D" w:rsidRDefault="00D07D8D" w:rsidP="00D07D8D">
      <w:pPr>
        <w:pStyle w:val="Titre3"/>
        <w:shd w:val="clear" w:color="auto" w:fill="FFFFFF"/>
        <w:spacing w:before="0" w:beforeAutospacing="0" w:after="30" w:afterAutospacing="0" w:line="285" w:lineRule="atLeast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  <w:r>
        <w:tab/>
      </w:r>
      <w:r w:rsidRPr="00D07D8D">
        <w:rPr>
          <w:rFonts w:ascii="Arial" w:hAnsi="Arial" w:cs="Arial"/>
          <w:color w:val="1A0DAB"/>
          <w:sz w:val="17"/>
        </w:rPr>
        <w:t>[CITATION]</w:t>
      </w:r>
      <w:r w:rsidRPr="00D07D8D">
        <w:rPr>
          <w:rFonts w:ascii="Arial" w:hAnsi="Arial" w:cs="Arial"/>
          <w:b w:val="0"/>
          <w:bCs w:val="0"/>
          <w:color w:val="222222"/>
          <w:sz w:val="26"/>
          <w:szCs w:val="26"/>
        </w:rPr>
        <w:t> </w:t>
      </w:r>
      <w:hyperlink r:id="rId5" w:history="1">
        <w:r w:rsidRPr="00D07D8D">
          <w:rPr>
            <w:rFonts w:ascii="Arial" w:hAnsi="Arial" w:cs="Arial"/>
            <w:b w:val="0"/>
            <w:bCs w:val="0"/>
            <w:color w:val="660099"/>
            <w:szCs w:val="26"/>
            <w:u w:val="single"/>
            <w:rtl/>
          </w:rPr>
          <w:t xml:space="preserve">أثر ابن </w:t>
        </w:r>
        <w:proofErr w:type="spellStart"/>
        <w:r w:rsidRPr="00D07D8D">
          <w:rPr>
            <w:rFonts w:ascii="Arial" w:hAnsi="Arial" w:cs="Arial"/>
            <w:b w:val="0"/>
            <w:bCs w:val="0"/>
            <w:color w:val="660099"/>
            <w:szCs w:val="26"/>
            <w:u w:val="single"/>
            <w:rtl/>
          </w:rPr>
          <w:t>قتيبة</w:t>
        </w:r>
        <w:proofErr w:type="spellEnd"/>
        <w:r w:rsidRPr="00D07D8D">
          <w:rPr>
            <w:rFonts w:ascii="Arial" w:hAnsi="Arial" w:cs="Arial"/>
            <w:b w:val="0"/>
            <w:bCs w:val="0"/>
            <w:color w:val="660099"/>
            <w:szCs w:val="26"/>
            <w:u w:val="single"/>
            <w:rtl/>
          </w:rPr>
          <w:t xml:space="preserve"> في رأي القائلين باستحالة ترجمة القرآن الكريم</w:t>
        </w:r>
        <w:r w:rsidRPr="00D07D8D">
          <w:rPr>
            <w:rFonts w:ascii="Arial" w:hAnsi="Arial" w:cs="Arial"/>
            <w:b w:val="0"/>
            <w:bCs w:val="0"/>
            <w:color w:val="660099"/>
            <w:sz w:val="26"/>
            <w:u w:val="single"/>
            <w:cs/>
          </w:rPr>
          <w:t>‎</w:t>
        </w:r>
      </w:hyperlink>
    </w:p>
    <w:p w:rsidR="00D07D8D" w:rsidRPr="00D07D8D" w:rsidRDefault="00D07D8D" w:rsidP="00D07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fr-FR"/>
        </w:rPr>
      </w:pPr>
      <w:r w:rsidRPr="00D07D8D">
        <w:rPr>
          <w:rFonts w:ascii="Arial" w:eastAsia="Times New Roman" w:hAnsi="Arial" w:cs="Arial"/>
          <w:b/>
          <w:bCs/>
          <w:color w:val="006621"/>
          <w:sz w:val="20"/>
          <w:szCs w:val="20"/>
          <w:rtl/>
          <w:lang w:eastAsia="fr-FR"/>
        </w:rPr>
        <w:t>تواتي</w:t>
      </w:r>
      <w:r w:rsidRPr="00D07D8D">
        <w:rPr>
          <w:rFonts w:ascii="Arial" w:eastAsia="Times New Roman" w:hAnsi="Arial" w:cs="Arial"/>
          <w:color w:val="006621"/>
          <w:sz w:val="20"/>
          <w:szCs w:val="20"/>
          <w:rtl/>
          <w:lang w:eastAsia="fr-FR"/>
        </w:rPr>
        <w:t>، </w:t>
      </w:r>
      <w:r w:rsidRPr="00D07D8D">
        <w:rPr>
          <w:rFonts w:ascii="Arial" w:eastAsia="Times New Roman" w:hAnsi="Arial" w:cs="Arial"/>
          <w:b/>
          <w:bCs/>
          <w:color w:val="006621"/>
          <w:sz w:val="20"/>
          <w:szCs w:val="20"/>
          <w:rtl/>
          <w:lang w:eastAsia="fr-FR"/>
        </w:rPr>
        <w:t>عبد القادر</w:t>
      </w:r>
      <w:r w:rsidRPr="00D07D8D">
        <w:rPr>
          <w:rFonts w:ascii="Arial" w:eastAsia="Times New Roman" w:hAnsi="Arial" w:cs="Arial"/>
          <w:color w:val="006621"/>
          <w:sz w:val="20"/>
          <w:szCs w:val="20"/>
          <w:rtl/>
          <w:lang w:eastAsia="fr-FR"/>
        </w:rPr>
        <w:t xml:space="preserve"> - </w:t>
      </w:r>
      <w:proofErr w:type="spellStart"/>
      <w:r w:rsidRPr="00D07D8D">
        <w:rPr>
          <w:rFonts w:ascii="Arial" w:eastAsia="Times New Roman" w:hAnsi="Arial" w:cs="Arial"/>
          <w:color w:val="006621"/>
          <w:sz w:val="20"/>
          <w:szCs w:val="20"/>
          <w:lang w:eastAsia="fr-FR"/>
        </w:rPr>
        <w:t>Majallat</w:t>
      </w:r>
      <w:proofErr w:type="spellEnd"/>
      <w:r w:rsidRPr="00D07D8D">
        <w:rPr>
          <w:rFonts w:ascii="Arial" w:eastAsia="Times New Roman" w:hAnsi="Arial" w:cs="Arial"/>
          <w:color w:val="006621"/>
          <w:sz w:val="20"/>
          <w:szCs w:val="20"/>
          <w:lang w:eastAsia="fr-FR"/>
        </w:rPr>
        <w:t xml:space="preserve"> al-</w:t>
      </w:r>
      <w:proofErr w:type="spellStart"/>
      <w:r w:rsidRPr="00D07D8D">
        <w:rPr>
          <w:rFonts w:ascii="Arial" w:eastAsia="Times New Roman" w:hAnsi="Arial" w:cs="Arial"/>
          <w:color w:val="006621"/>
          <w:sz w:val="20"/>
          <w:szCs w:val="20"/>
          <w:lang w:eastAsia="fr-FR"/>
        </w:rPr>
        <w:t>Mumārasāt</w:t>
      </w:r>
      <w:proofErr w:type="spellEnd"/>
      <w:r w:rsidRPr="00D07D8D">
        <w:rPr>
          <w:rFonts w:ascii="Arial" w:eastAsia="Times New Roman" w:hAnsi="Arial" w:cs="Arial"/>
          <w:color w:val="006621"/>
          <w:sz w:val="20"/>
          <w:szCs w:val="20"/>
          <w:lang w:eastAsia="fr-FR"/>
        </w:rPr>
        <w:t xml:space="preserve"> al-</w:t>
      </w:r>
      <w:proofErr w:type="spellStart"/>
      <w:r w:rsidRPr="00D07D8D">
        <w:rPr>
          <w:rFonts w:ascii="Arial" w:eastAsia="Times New Roman" w:hAnsi="Arial" w:cs="Arial"/>
          <w:color w:val="006621"/>
          <w:sz w:val="20"/>
          <w:szCs w:val="20"/>
          <w:lang w:eastAsia="fr-FR"/>
        </w:rPr>
        <w:t>Lughawīyah</w:t>
      </w:r>
      <w:proofErr w:type="spellEnd"/>
      <w:r w:rsidRPr="00D07D8D">
        <w:rPr>
          <w:rFonts w:ascii="Arial" w:eastAsia="Times New Roman" w:hAnsi="Arial" w:cs="Arial"/>
          <w:color w:val="006621"/>
          <w:sz w:val="20"/>
          <w:szCs w:val="20"/>
          <w:lang w:eastAsia="fr-FR"/>
        </w:rPr>
        <w:t>, 2015</w:t>
      </w:r>
      <w:r w:rsidRPr="00D07D8D">
        <w:rPr>
          <w:rFonts w:ascii="Arial" w:eastAsia="Times New Roman" w:hAnsi="Arial" w:cs="Arial"/>
          <w:color w:val="006621"/>
          <w:sz w:val="20"/>
          <w:szCs w:val="20"/>
          <w:cs/>
          <w:lang w:eastAsia="fr-FR"/>
        </w:rPr>
        <w:t>‎</w:t>
      </w:r>
      <w:r w:rsidRPr="00D07D8D">
        <w:rPr>
          <w:rFonts w:ascii="Arial" w:eastAsia="Times New Roman" w:hAnsi="Arial" w:cs="Arial"/>
          <w:color w:val="006621"/>
          <w:sz w:val="20"/>
          <w:szCs w:val="20"/>
          <w:lang w:eastAsia="fr-FR"/>
        </w:rPr>
        <w:t xml:space="preserve"> - platform.almanhal.com</w:t>
      </w:r>
    </w:p>
    <w:p w:rsidR="00D07D8D" w:rsidRPr="00D07D8D" w:rsidRDefault="00D07D8D" w:rsidP="00D07D8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07D8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Page 1</w:t>
      </w:r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. أ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ﻢﻳﺮﻜﻟا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نآﺮﻘﻟا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ﺔﻤﺟﺮﺗ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ﺔﻟﺎﺤﺘﺳﺎﺑ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ينﻠﺋﺎﻘﻟا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يأر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</w:t>
      </w:r>
      <w:r w:rsidRPr="00D07D8D">
        <w:rPr>
          <w:rFonts w:ascii="Courier New" w:eastAsia="Times New Roman" w:hAnsi="Courier New" w:cs="Courier New" w:hint="cs"/>
          <w:color w:val="222222"/>
          <w:sz w:val="20"/>
          <w:szCs w:val="20"/>
          <w:rtl/>
          <w:lang w:eastAsia="fr-FR"/>
        </w:rPr>
        <w:t>ﰲ</w:t>
      </w:r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ﺔﺒﻴﺘﻗ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ﻦﺑا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ﺮﺛأ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.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تياﻮﺗ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ردﺎﻘﻟا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ﺪﺒﻋ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ر </w:t>
      </w:r>
      <w:r w:rsidRPr="00D07D8D">
        <w:rPr>
          <w:rFonts w:ascii="Courier New" w:eastAsia="Times New Roman" w:hAnsi="Courier New" w:cs="Courier New" w:hint="cs"/>
          <w:color w:val="222222"/>
          <w:sz w:val="20"/>
          <w:szCs w:val="20"/>
          <w:rtl/>
          <w:lang w:eastAsia="fr-FR"/>
        </w:rPr>
        <w:t>ﰲ</w:t>
      </w:r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ﺔﺒﻴﺘﻗ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ﻦﺑا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ﺮﺛأ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ﺔﻤﺟﺮﺗ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ﺔﻟﺎﺤﺘﺳﺎﺑ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ينﻠﺋﺎﻘﻟا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br/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يأ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آﺮﻘﻟا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ﻢﻳﺮﻜﻟا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ن أ.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تياﻮﺗ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ردﺎﻘﻟا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ﺪﺒﻋ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**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جﺎﺤﻟوا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ﺪﻨﺤﻣ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r w:rsidRPr="00D07D8D">
        <w:rPr>
          <w:rFonts w:ascii="Arial Unicode MS" w:eastAsia="Times New Roman" w:hAnsi="Arial Unicode MS" w:cs="Arial Unicode MS" w:hint="cs"/>
          <w:color w:val="222222"/>
          <w:sz w:val="20"/>
          <w:szCs w:val="20"/>
          <w:rtl/>
          <w:lang w:eastAsia="fr-FR"/>
        </w:rPr>
        <w:t>ﲇ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ﻛأ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ﺔﻌﻣﺎﺟ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،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ةﺮﻳﻮﺒﻟا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ﺔﻣﺪﻘﻣ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: ﻻفﻼﺧ و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ﺔﻤﺟ</w:t>
      </w:r>
      <w:proofErr w:type="spellEnd"/>
      <w:r w:rsidRPr="00D07D8D">
        <w:rPr>
          <w:rFonts w:ascii="Courier New" w:eastAsia="Times New Roman" w:hAnsi="Courier New" w:cs="Courier New" w:hint="cs"/>
          <w:color w:val="222222"/>
          <w:sz w:val="20"/>
          <w:szCs w:val="20"/>
          <w:rtl/>
          <w:lang w:eastAsia="fr-FR"/>
        </w:rPr>
        <w:t>ﱰ</w:t>
      </w:r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ﻟا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ﺔﻴﻤﻫأ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ل</w:t>
      </w:r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ﻮﺣ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ﺎﻬﺗﺪﺋﺎﻓ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،ﺮـﻜﻨﻳ ﻻ</w:t>
      </w:r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br/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بﻮﻌﺸـﻟاو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ﻢـﻣﻷا ينـﺑ </w:t>
      </w:r>
      <w:proofErr w:type="spellStart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ﻞـﺻاﻮﺘﻟا</w:t>
      </w:r>
      <w:proofErr w:type="spellEnd"/>
      <w:r w:rsidRPr="00D07D8D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</w:t>
      </w:r>
      <w:r w:rsidRPr="00D07D8D">
        <w:rPr>
          <w:rFonts w:ascii="Courier New" w:eastAsia="Times New Roman" w:hAnsi="Courier New" w:cs="Courier New" w:hint="cs"/>
          <w:color w:val="222222"/>
          <w:sz w:val="20"/>
          <w:szCs w:val="20"/>
          <w:rtl/>
          <w:lang w:eastAsia="fr-FR"/>
        </w:rPr>
        <w:t>ﰲ</w:t>
      </w:r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ﺎﻬﻠﻀـﻔﻓ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، ﻔﺘﻟا </w:t>
      </w:r>
      <w:r w:rsidRPr="00D07D8D">
        <w:rPr>
          <w:rFonts w:ascii="Courier New" w:eastAsia="Times New Roman" w:hAnsi="Courier New" w:cs="Courier New" w:hint="cs"/>
          <w:color w:val="222222"/>
          <w:sz w:val="20"/>
          <w:szCs w:val="20"/>
          <w:rtl/>
          <w:lang w:eastAsia="fr-FR"/>
        </w:rPr>
        <w:t>ﰲ</w:t>
      </w:r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ﺎﻫﺮﺛأو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،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ﺪﺤﺠﻳ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ﻻ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تارﺎﻀﺤﻟا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ينﺑ ﺢﻗﻼﺘﻟا </w:t>
      </w:r>
      <w:r w:rsidRPr="00D07D8D">
        <w:rPr>
          <w:rFonts w:ascii="Courier New" w:eastAsia="Times New Roman" w:hAnsi="Courier New" w:cs="Courier New" w:hint="cs"/>
          <w:color w:val="222222"/>
          <w:sz w:val="20"/>
          <w:szCs w:val="20"/>
          <w:rtl/>
          <w:lang w:eastAsia="fr-FR"/>
        </w:rPr>
        <w:t>ﰲ</w:t>
      </w:r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ﺎﻫرودو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ﻪـﺟوو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،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ﻊﻓﺪـﻳ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ﻻ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ءﺎـﻄﻋو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 xml:space="preserve"> </w:t>
      </w:r>
      <w:proofErr w:type="spellStart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اﺬـﺧأ</w:t>
      </w:r>
      <w:proofErr w:type="spellEnd"/>
      <w:r w:rsidRPr="00D07D8D">
        <w:rPr>
          <w:rFonts w:ascii="Arial" w:eastAsia="Times New Roman" w:hAnsi="Arial" w:cs="Arial" w:hint="cs"/>
          <w:color w:val="222222"/>
          <w:sz w:val="20"/>
          <w:szCs w:val="20"/>
          <w:rtl/>
          <w:lang w:eastAsia="fr-FR"/>
        </w:rPr>
        <w:t> …</w:t>
      </w:r>
      <w:r w:rsidRPr="00D07D8D">
        <w:rPr>
          <w:rFonts w:ascii="Arial" w:eastAsia="Times New Roman" w:hAnsi="Arial" w:cs="Arial"/>
          <w:color w:val="222222"/>
          <w:sz w:val="20"/>
          <w:szCs w:val="20"/>
          <w:cs/>
          <w:lang w:eastAsia="fr-FR"/>
        </w:rPr>
        <w:t>‎</w:t>
      </w:r>
    </w:p>
    <w:p w:rsidR="00D07D8D" w:rsidRPr="00D07D8D" w:rsidRDefault="00D07D8D" w:rsidP="00D07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fr-FR"/>
        </w:rPr>
      </w:pPr>
      <w:r w:rsidRPr="00D07D8D">
        <w:rPr>
          <w:rFonts w:ascii="Arial" w:eastAsia="Times New Roman" w:hAnsi="Arial" w:cs="Arial"/>
          <w:color w:val="777777"/>
          <w:sz w:val="2"/>
          <w:szCs w:val="2"/>
          <w:lang w:eastAsia="fr-FR"/>
        </w:rPr>
        <w:t>  </w:t>
      </w:r>
      <w:hyperlink r:id="rId6" w:history="1">
        <w:r w:rsidRPr="00D07D8D">
          <w:rPr>
            <w:rFonts w:ascii="Arial" w:eastAsia="Times New Roman" w:hAnsi="Arial" w:cs="Arial"/>
            <w:color w:val="660099"/>
            <w:sz w:val="20"/>
            <w:u w:val="single"/>
            <w:lang w:eastAsia="fr-FR"/>
          </w:rPr>
          <w:t>All 2 versions</w:t>
        </w:r>
      </w:hyperlink>
    </w:p>
    <w:p w:rsidR="00167EB8" w:rsidRPr="00D07D8D" w:rsidRDefault="00167EB8" w:rsidP="00D07D8D">
      <w:pPr>
        <w:tabs>
          <w:tab w:val="left" w:pos="2415"/>
        </w:tabs>
      </w:pPr>
    </w:p>
    <w:sectPr w:rsidR="00167EB8" w:rsidRPr="00D07D8D" w:rsidSect="0016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D8D"/>
    <w:rsid w:val="00167EB8"/>
    <w:rsid w:val="00D0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B8"/>
  </w:style>
  <w:style w:type="paragraph" w:styleId="Titre3">
    <w:name w:val="heading 3"/>
    <w:basedOn w:val="Normal"/>
    <w:link w:val="Titre3Car"/>
    <w:uiPriority w:val="9"/>
    <w:qFormat/>
    <w:rsid w:val="00D07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D8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07D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sct1">
    <w:name w:val="gs_ct1"/>
    <w:basedOn w:val="Policepardfaut"/>
    <w:rsid w:val="00D07D8D"/>
  </w:style>
  <w:style w:type="character" w:styleId="Lienhypertexte">
    <w:name w:val="Hyperlink"/>
    <w:basedOn w:val="Policepardfaut"/>
    <w:uiPriority w:val="99"/>
    <w:semiHidden/>
    <w:unhideWhenUsed/>
    <w:rsid w:val="00D07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6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eg/scholar?cluster=4124012929202421730&amp;hl=en&amp;as_sdt=0,5" TargetMode="External"/><Relationship Id="rId5" Type="http://schemas.openxmlformats.org/officeDocument/2006/relationships/hyperlink" Target="https://platform.almanhal.com/GoogleScholar/Details/?ID=2-6787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1</cp:revision>
  <dcterms:created xsi:type="dcterms:W3CDTF">2020-10-27T12:53:00Z</dcterms:created>
  <dcterms:modified xsi:type="dcterms:W3CDTF">2020-10-27T12:54:00Z</dcterms:modified>
</cp:coreProperties>
</file>